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DA" w:rsidRDefault="004363DA">
      <w:pPr>
        <w:pStyle w:val="ConsPlusTitlePage"/>
      </w:pPr>
      <w:r>
        <w:t xml:space="preserve">Документ предоставлен </w:t>
      </w:r>
      <w:hyperlink r:id="rId5" w:history="1">
        <w:r>
          <w:rPr>
            <w:color w:val="0000FF"/>
          </w:rPr>
          <w:t>КонсультантПлюс</w:t>
        </w:r>
      </w:hyperlink>
      <w:r>
        <w:br/>
      </w:r>
    </w:p>
    <w:p w:rsidR="004363DA" w:rsidRDefault="004363DA">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363DA">
        <w:tc>
          <w:tcPr>
            <w:tcW w:w="4677" w:type="dxa"/>
            <w:tcBorders>
              <w:top w:val="nil"/>
              <w:left w:val="nil"/>
              <w:bottom w:val="nil"/>
              <w:right w:val="nil"/>
            </w:tcBorders>
          </w:tcPr>
          <w:p w:rsidR="004363DA" w:rsidRDefault="004363DA">
            <w:pPr>
              <w:pStyle w:val="ConsPlusNormal"/>
              <w:outlineLvl w:val="0"/>
            </w:pPr>
            <w:r>
              <w:t>27 ноября 2002 года</w:t>
            </w:r>
          </w:p>
        </w:tc>
        <w:tc>
          <w:tcPr>
            <w:tcW w:w="4677" w:type="dxa"/>
            <w:tcBorders>
              <w:top w:val="nil"/>
              <w:left w:val="nil"/>
              <w:bottom w:val="nil"/>
              <w:right w:val="nil"/>
            </w:tcBorders>
          </w:tcPr>
          <w:p w:rsidR="004363DA" w:rsidRDefault="004363DA">
            <w:pPr>
              <w:pStyle w:val="ConsPlusNormal"/>
              <w:jc w:val="right"/>
              <w:outlineLvl w:val="0"/>
            </w:pPr>
            <w:r>
              <w:t>N 63-РЗ</w:t>
            </w:r>
          </w:p>
        </w:tc>
      </w:tr>
    </w:tbl>
    <w:p w:rsidR="004363DA" w:rsidRDefault="004363DA">
      <w:pPr>
        <w:pStyle w:val="ConsPlusNormal"/>
        <w:pBdr>
          <w:top w:val="single" w:sz="6" w:space="0" w:color="auto"/>
        </w:pBdr>
        <w:spacing w:before="100" w:after="100"/>
        <w:jc w:val="both"/>
        <w:rPr>
          <w:sz w:val="2"/>
          <w:szCs w:val="2"/>
        </w:rPr>
      </w:pPr>
    </w:p>
    <w:p w:rsidR="004363DA" w:rsidRDefault="004363DA">
      <w:pPr>
        <w:pStyle w:val="ConsPlusNormal"/>
        <w:ind w:firstLine="540"/>
        <w:jc w:val="both"/>
      </w:pPr>
    </w:p>
    <w:p w:rsidR="004363DA" w:rsidRDefault="004363DA">
      <w:pPr>
        <w:pStyle w:val="ConsPlusTitle"/>
        <w:jc w:val="center"/>
      </w:pPr>
      <w:r>
        <w:t>УДМУРТСКАЯ РЕСПУБЛИКА</w:t>
      </w:r>
    </w:p>
    <w:p w:rsidR="004363DA" w:rsidRDefault="004363DA">
      <w:pPr>
        <w:pStyle w:val="ConsPlusTitle"/>
        <w:jc w:val="center"/>
      </w:pPr>
    </w:p>
    <w:p w:rsidR="004363DA" w:rsidRDefault="004363DA">
      <w:pPr>
        <w:pStyle w:val="ConsPlusTitle"/>
        <w:jc w:val="center"/>
      </w:pPr>
      <w:r>
        <w:t>ЗАКОН</w:t>
      </w:r>
    </w:p>
    <w:p w:rsidR="004363DA" w:rsidRDefault="004363DA">
      <w:pPr>
        <w:pStyle w:val="ConsPlusTitle"/>
        <w:jc w:val="center"/>
      </w:pPr>
    </w:p>
    <w:p w:rsidR="004363DA" w:rsidRDefault="004363DA">
      <w:pPr>
        <w:pStyle w:val="ConsPlusTitle"/>
        <w:jc w:val="center"/>
      </w:pPr>
      <w:r>
        <w:t>О ТРАНСПОРТНОМ НАЛОГЕ В УДМУРТСКОЙ РЕСПУБЛИКЕ</w:t>
      </w:r>
    </w:p>
    <w:p w:rsidR="004363DA" w:rsidRDefault="004363DA">
      <w:pPr>
        <w:pStyle w:val="ConsPlusNormal"/>
        <w:ind w:firstLine="540"/>
        <w:jc w:val="both"/>
      </w:pPr>
    </w:p>
    <w:p w:rsidR="004363DA" w:rsidRDefault="004363DA">
      <w:pPr>
        <w:pStyle w:val="ConsPlusNormal"/>
        <w:jc w:val="right"/>
      </w:pPr>
      <w:proofErr w:type="gramStart"/>
      <w:r>
        <w:t>Принят</w:t>
      </w:r>
      <w:proofErr w:type="gramEnd"/>
    </w:p>
    <w:p w:rsidR="004363DA" w:rsidRDefault="004363DA">
      <w:pPr>
        <w:pStyle w:val="ConsPlusNormal"/>
        <w:jc w:val="right"/>
      </w:pPr>
      <w:r>
        <w:t>Государственным Советом</w:t>
      </w:r>
    </w:p>
    <w:p w:rsidR="004363DA" w:rsidRDefault="004363DA">
      <w:pPr>
        <w:pStyle w:val="ConsPlusNormal"/>
        <w:jc w:val="right"/>
      </w:pPr>
      <w:r>
        <w:t>Удмуртской Республики</w:t>
      </w:r>
    </w:p>
    <w:p w:rsidR="004363DA" w:rsidRDefault="004363DA">
      <w:pPr>
        <w:pStyle w:val="ConsPlusNormal"/>
        <w:jc w:val="right"/>
      </w:pPr>
      <w:r>
        <w:t>19 ноября 2002 года</w:t>
      </w:r>
    </w:p>
    <w:p w:rsidR="004363DA" w:rsidRDefault="004363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363DA">
        <w:trPr>
          <w:jc w:val="center"/>
        </w:trPr>
        <w:tc>
          <w:tcPr>
            <w:tcW w:w="9294" w:type="dxa"/>
            <w:tcBorders>
              <w:top w:val="nil"/>
              <w:left w:val="single" w:sz="24" w:space="0" w:color="CED3F1"/>
              <w:bottom w:val="nil"/>
              <w:right w:val="single" w:sz="24" w:space="0" w:color="F4F3F8"/>
            </w:tcBorders>
            <w:shd w:val="clear" w:color="auto" w:fill="F4F3F8"/>
          </w:tcPr>
          <w:p w:rsidR="004363DA" w:rsidRDefault="004363DA">
            <w:pPr>
              <w:pStyle w:val="ConsPlusNormal"/>
              <w:jc w:val="center"/>
            </w:pPr>
            <w:r>
              <w:rPr>
                <w:color w:val="392C69"/>
              </w:rPr>
              <w:t>Список изменяющих документов</w:t>
            </w:r>
          </w:p>
          <w:p w:rsidR="004363DA" w:rsidRDefault="004363DA">
            <w:pPr>
              <w:pStyle w:val="ConsPlusNormal"/>
              <w:jc w:val="center"/>
            </w:pPr>
            <w:proofErr w:type="gramStart"/>
            <w:r>
              <w:rPr>
                <w:color w:val="392C69"/>
              </w:rPr>
              <w:t xml:space="preserve">(в ред. Законов УР от 01.07.2003 </w:t>
            </w:r>
            <w:hyperlink r:id="rId6" w:history="1">
              <w:r>
                <w:rPr>
                  <w:color w:val="0000FF"/>
                </w:rPr>
                <w:t>N 22-РЗ</w:t>
              </w:r>
            </w:hyperlink>
            <w:r>
              <w:rPr>
                <w:color w:val="392C69"/>
              </w:rPr>
              <w:t xml:space="preserve">, от 16.10.2003 </w:t>
            </w:r>
            <w:hyperlink r:id="rId7" w:history="1">
              <w:r>
                <w:rPr>
                  <w:color w:val="0000FF"/>
                </w:rPr>
                <w:t>N 36-РЗ</w:t>
              </w:r>
            </w:hyperlink>
            <w:r>
              <w:rPr>
                <w:color w:val="392C69"/>
              </w:rPr>
              <w:t>,</w:t>
            </w:r>
            <w:proofErr w:type="gramEnd"/>
          </w:p>
          <w:p w:rsidR="004363DA" w:rsidRDefault="004363DA">
            <w:pPr>
              <w:pStyle w:val="ConsPlusNormal"/>
              <w:jc w:val="center"/>
            </w:pPr>
            <w:r>
              <w:rPr>
                <w:color w:val="392C69"/>
              </w:rPr>
              <w:t xml:space="preserve">от 30.06.2004 </w:t>
            </w:r>
            <w:hyperlink r:id="rId8" w:history="1">
              <w:r>
                <w:rPr>
                  <w:color w:val="0000FF"/>
                </w:rPr>
                <w:t>N 28-РЗ</w:t>
              </w:r>
            </w:hyperlink>
            <w:r>
              <w:rPr>
                <w:color w:val="392C69"/>
              </w:rPr>
              <w:t xml:space="preserve">, от 02.12.2004 </w:t>
            </w:r>
            <w:hyperlink r:id="rId9" w:history="1">
              <w:r>
                <w:rPr>
                  <w:color w:val="0000FF"/>
                </w:rPr>
                <w:t>N 78-РЗ</w:t>
              </w:r>
            </w:hyperlink>
            <w:r>
              <w:rPr>
                <w:color w:val="392C69"/>
              </w:rPr>
              <w:t xml:space="preserve">, от 28.11.2005 </w:t>
            </w:r>
            <w:hyperlink r:id="rId10" w:history="1">
              <w:r>
                <w:rPr>
                  <w:color w:val="0000FF"/>
                </w:rPr>
                <w:t>N 59-РЗ</w:t>
              </w:r>
            </w:hyperlink>
            <w:r>
              <w:rPr>
                <w:color w:val="392C69"/>
              </w:rPr>
              <w:t>,</w:t>
            </w:r>
          </w:p>
          <w:p w:rsidR="004363DA" w:rsidRDefault="004363DA">
            <w:pPr>
              <w:pStyle w:val="ConsPlusNormal"/>
              <w:jc w:val="center"/>
            </w:pPr>
            <w:r>
              <w:rPr>
                <w:color w:val="392C69"/>
              </w:rPr>
              <w:t xml:space="preserve">от 28.11.2006 </w:t>
            </w:r>
            <w:hyperlink r:id="rId11" w:history="1">
              <w:r>
                <w:rPr>
                  <w:color w:val="0000FF"/>
                </w:rPr>
                <w:t>N 53-РЗ</w:t>
              </w:r>
            </w:hyperlink>
            <w:r>
              <w:rPr>
                <w:color w:val="392C69"/>
              </w:rPr>
              <w:t xml:space="preserve">, от 12.05.2008 </w:t>
            </w:r>
            <w:hyperlink r:id="rId12" w:history="1">
              <w:r>
                <w:rPr>
                  <w:color w:val="0000FF"/>
                </w:rPr>
                <w:t>N 14-РЗ</w:t>
              </w:r>
            </w:hyperlink>
            <w:r>
              <w:rPr>
                <w:color w:val="392C69"/>
              </w:rPr>
              <w:t xml:space="preserve">, от 23.11.2009 </w:t>
            </w:r>
            <w:hyperlink r:id="rId13" w:history="1">
              <w:r>
                <w:rPr>
                  <w:color w:val="0000FF"/>
                </w:rPr>
                <w:t>N 48-РЗ</w:t>
              </w:r>
            </w:hyperlink>
            <w:r>
              <w:rPr>
                <w:color w:val="392C69"/>
              </w:rPr>
              <w:t>,</w:t>
            </w:r>
          </w:p>
          <w:p w:rsidR="004363DA" w:rsidRDefault="004363DA">
            <w:pPr>
              <w:pStyle w:val="ConsPlusNormal"/>
              <w:jc w:val="center"/>
            </w:pPr>
            <w:r>
              <w:rPr>
                <w:color w:val="392C69"/>
              </w:rPr>
              <w:t xml:space="preserve">от 06.10.2010 </w:t>
            </w:r>
            <w:hyperlink r:id="rId14" w:history="1">
              <w:r>
                <w:rPr>
                  <w:color w:val="0000FF"/>
                </w:rPr>
                <w:t>N 36-РЗ</w:t>
              </w:r>
            </w:hyperlink>
            <w:r>
              <w:rPr>
                <w:color w:val="392C69"/>
              </w:rPr>
              <w:t xml:space="preserve">, от 07.06.2012 </w:t>
            </w:r>
            <w:hyperlink r:id="rId15" w:history="1">
              <w:r>
                <w:rPr>
                  <w:color w:val="0000FF"/>
                </w:rPr>
                <w:t>N 24-РЗ</w:t>
              </w:r>
            </w:hyperlink>
            <w:r>
              <w:rPr>
                <w:color w:val="392C69"/>
              </w:rPr>
              <w:t xml:space="preserve">, от 01.10.2014 </w:t>
            </w:r>
            <w:hyperlink r:id="rId16" w:history="1">
              <w:r>
                <w:rPr>
                  <w:color w:val="0000FF"/>
                </w:rPr>
                <w:t>N 44-РЗ</w:t>
              </w:r>
            </w:hyperlink>
            <w:r>
              <w:rPr>
                <w:color w:val="392C69"/>
              </w:rPr>
              <w:t>,</w:t>
            </w:r>
          </w:p>
          <w:p w:rsidR="004363DA" w:rsidRDefault="004363DA">
            <w:pPr>
              <w:pStyle w:val="ConsPlusNormal"/>
              <w:jc w:val="center"/>
            </w:pPr>
            <w:r>
              <w:rPr>
                <w:color w:val="392C69"/>
              </w:rPr>
              <w:t xml:space="preserve">от 08.07.2015 </w:t>
            </w:r>
            <w:hyperlink r:id="rId17" w:history="1">
              <w:r>
                <w:rPr>
                  <w:color w:val="0000FF"/>
                </w:rPr>
                <w:t>N 47-РЗ</w:t>
              </w:r>
            </w:hyperlink>
            <w:r>
              <w:rPr>
                <w:color w:val="392C69"/>
              </w:rPr>
              <w:t xml:space="preserve">, от 03.11.2016 </w:t>
            </w:r>
            <w:hyperlink r:id="rId18" w:history="1">
              <w:r>
                <w:rPr>
                  <w:color w:val="0000FF"/>
                </w:rPr>
                <w:t>N 77-РЗ</w:t>
              </w:r>
            </w:hyperlink>
            <w:r>
              <w:rPr>
                <w:color w:val="392C69"/>
              </w:rPr>
              <w:t xml:space="preserve">, от 24.09.2018 </w:t>
            </w:r>
            <w:hyperlink r:id="rId19" w:history="1">
              <w:r>
                <w:rPr>
                  <w:color w:val="0000FF"/>
                </w:rPr>
                <w:t>N 50-РЗ</w:t>
              </w:r>
            </w:hyperlink>
            <w:r>
              <w:rPr>
                <w:color w:val="392C69"/>
              </w:rPr>
              <w:t>,</w:t>
            </w:r>
          </w:p>
          <w:p w:rsidR="004363DA" w:rsidRDefault="004363DA">
            <w:pPr>
              <w:pStyle w:val="ConsPlusNormal"/>
              <w:jc w:val="center"/>
            </w:pPr>
            <w:r>
              <w:rPr>
                <w:color w:val="392C69"/>
              </w:rPr>
              <w:t xml:space="preserve">от 16.11.2018 </w:t>
            </w:r>
            <w:hyperlink r:id="rId20" w:history="1">
              <w:r>
                <w:rPr>
                  <w:color w:val="0000FF"/>
                </w:rPr>
                <w:t>N 73-РЗ</w:t>
              </w:r>
            </w:hyperlink>
            <w:r>
              <w:rPr>
                <w:color w:val="392C69"/>
              </w:rPr>
              <w:t xml:space="preserve">, от 29.11.2018 </w:t>
            </w:r>
            <w:hyperlink r:id="rId21" w:history="1">
              <w:r>
                <w:rPr>
                  <w:color w:val="0000FF"/>
                </w:rPr>
                <w:t>N 74-РЗ</w:t>
              </w:r>
            </w:hyperlink>
            <w:r>
              <w:rPr>
                <w:color w:val="392C69"/>
              </w:rPr>
              <w:t xml:space="preserve">, от 08.07.2019 </w:t>
            </w:r>
            <w:hyperlink r:id="rId22" w:history="1">
              <w:r>
                <w:rPr>
                  <w:color w:val="0000FF"/>
                </w:rPr>
                <w:t>N 33-РЗ</w:t>
              </w:r>
            </w:hyperlink>
            <w:r>
              <w:rPr>
                <w:color w:val="392C69"/>
              </w:rPr>
              <w:t>,</w:t>
            </w:r>
          </w:p>
          <w:p w:rsidR="004363DA" w:rsidRDefault="004363DA">
            <w:pPr>
              <w:pStyle w:val="ConsPlusNormal"/>
              <w:jc w:val="center"/>
            </w:pPr>
            <w:r>
              <w:rPr>
                <w:color w:val="392C69"/>
              </w:rPr>
              <w:t xml:space="preserve">от 07.10.2019 </w:t>
            </w:r>
            <w:hyperlink r:id="rId23" w:history="1">
              <w:r>
                <w:rPr>
                  <w:color w:val="0000FF"/>
                </w:rPr>
                <w:t>N 52-РЗ</w:t>
              </w:r>
            </w:hyperlink>
            <w:r>
              <w:rPr>
                <w:color w:val="392C69"/>
              </w:rPr>
              <w:t xml:space="preserve">, от 29.11.2019 </w:t>
            </w:r>
            <w:hyperlink r:id="rId24" w:history="1">
              <w:r>
                <w:rPr>
                  <w:color w:val="0000FF"/>
                </w:rPr>
                <w:t>N 66-РЗ</w:t>
              </w:r>
            </w:hyperlink>
            <w:r>
              <w:rPr>
                <w:color w:val="392C69"/>
              </w:rPr>
              <w:t>)</w:t>
            </w:r>
          </w:p>
        </w:tc>
      </w:tr>
    </w:tbl>
    <w:p w:rsidR="004363DA" w:rsidRDefault="004363DA">
      <w:pPr>
        <w:pStyle w:val="ConsPlusNormal"/>
        <w:ind w:firstLine="540"/>
        <w:jc w:val="both"/>
      </w:pPr>
    </w:p>
    <w:p w:rsidR="004363DA" w:rsidRDefault="004363DA">
      <w:pPr>
        <w:pStyle w:val="ConsPlusTitle"/>
        <w:ind w:firstLine="540"/>
        <w:jc w:val="both"/>
        <w:outlineLvl w:val="1"/>
      </w:pPr>
      <w:r>
        <w:t>Статья 1. Общие положения</w:t>
      </w:r>
    </w:p>
    <w:p w:rsidR="004363DA" w:rsidRDefault="004363D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363DA">
        <w:trPr>
          <w:jc w:val="center"/>
        </w:trPr>
        <w:tc>
          <w:tcPr>
            <w:tcW w:w="9294" w:type="dxa"/>
            <w:tcBorders>
              <w:top w:val="nil"/>
              <w:left w:val="single" w:sz="24" w:space="0" w:color="CED3F1"/>
              <w:bottom w:val="nil"/>
              <w:right w:val="single" w:sz="24" w:space="0" w:color="F4F3F8"/>
            </w:tcBorders>
            <w:shd w:val="clear" w:color="auto" w:fill="F4F3F8"/>
          </w:tcPr>
          <w:p w:rsidR="004363DA" w:rsidRDefault="004363DA">
            <w:pPr>
              <w:pStyle w:val="ConsPlusNormal"/>
              <w:jc w:val="both"/>
            </w:pPr>
            <w:r>
              <w:rPr>
                <w:color w:val="392C69"/>
              </w:rPr>
              <w:t xml:space="preserve">В соответствии с </w:t>
            </w:r>
            <w:hyperlink r:id="rId25" w:history="1">
              <w:r>
                <w:rPr>
                  <w:color w:val="0000FF"/>
                </w:rPr>
                <w:t>Законом</w:t>
              </w:r>
            </w:hyperlink>
            <w:r>
              <w:rPr>
                <w:color w:val="392C69"/>
              </w:rPr>
              <w:t xml:space="preserve"> УР от 29.11.2019 N 66-РЗ с 1 января 2021 года слова "и сроки" будут исключены.</w:t>
            </w:r>
          </w:p>
        </w:tc>
      </w:tr>
    </w:tbl>
    <w:p w:rsidR="004363DA" w:rsidRDefault="004363DA">
      <w:pPr>
        <w:pStyle w:val="ConsPlusNormal"/>
        <w:spacing w:before="280"/>
        <w:ind w:firstLine="540"/>
        <w:jc w:val="both"/>
      </w:pPr>
      <w:r>
        <w:t xml:space="preserve">Настоящий Закон в соответствии с Налоговым </w:t>
      </w:r>
      <w:hyperlink r:id="rId26" w:history="1">
        <w:r>
          <w:rPr>
            <w:color w:val="0000FF"/>
          </w:rPr>
          <w:t>кодексом</w:t>
        </w:r>
      </w:hyperlink>
      <w:r>
        <w:t xml:space="preserve"> Российской Федерации вводит в действие на территории Удмуртской Республики транспортный налог (далее в настоящем Законе - налог), определяет ставки налога, порядок и сроки его уплаты, льготы по уплате налога.</w:t>
      </w:r>
    </w:p>
    <w:p w:rsidR="004363DA" w:rsidRDefault="004363DA">
      <w:pPr>
        <w:pStyle w:val="ConsPlusNormal"/>
        <w:jc w:val="both"/>
      </w:pPr>
      <w:r>
        <w:t xml:space="preserve">(в ред. </w:t>
      </w:r>
      <w:hyperlink r:id="rId27" w:history="1">
        <w:r>
          <w:rPr>
            <w:color w:val="0000FF"/>
          </w:rPr>
          <w:t>Закона</w:t>
        </w:r>
      </w:hyperlink>
      <w:r>
        <w:t xml:space="preserve"> УР от 30.06.2004 N 28-РЗ)</w:t>
      </w:r>
    </w:p>
    <w:p w:rsidR="004363DA" w:rsidRDefault="004363DA">
      <w:pPr>
        <w:pStyle w:val="ConsPlusNormal"/>
        <w:ind w:firstLine="540"/>
        <w:jc w:val="both"/>
      </w:pPr>
    </w:p>
    <w:p w:rsidR="004363DA" w:rsidRDefault="004363DA">
      <w:pPr>
        <w:pStyle w:val="ConsPlusTitle"/>
        <w:ind w:firstLine="540"/>
        <w:jc w:val="both"/>
        <w:outlineLvl w:val="1"/>
      </w:pPr>
      <w:bookmarkStart w:id="0" w:name="P29"/>
      <w:bookmarkEnd w:id="0"/>
      <w:r>
        <w:t>Статья 2. Налоговые ставки</w:t>
      </w:r>
    </w:p>
    <w:p w:rsidR="004363DA" w:rsidRDefault="004363DA">
      <w:pPr>
        <w:pStyle w:val="ConsPlusNormal"/>
        <w:ind w:firstLine="540"/>
        <w:jc w:val="both"/>
      </w:pPr>
    </w:p>
    <w:p w:rsidR="004363DA" w:rsidRDefault="004363DA">
      <w:pPr>
        <w:pStyle w:val="ConsPlusNormal"/>
        <w:ind w:firstLine="540"/>
        <w:jc w:val="both"/>
      </w:pPr>
      <w:r>
        <w:t xml:space="preserve">Налогообложение производится в зависимости от мощности двигателя, тяги реактивного двигателя, валовой вместимости транспортных средств, категории транспортных средств, признаваемых объектом налогообложения в соответствии со </w:t>
      </w:r>
      <w:hyperlink r:id="rId28" w:history="1">
        <w:r>
          <w:rPr>
            <w:color w:val="0000FF"/>
          </w:rPr>
          <w:t>статьей 358</w:t>
        </w:r>
      </w:hyperlink>
      <w:r>
        <w:t xml:space="preserve"> Налогового кодекса Российской Федерации, с учетом положений, установленных </w:t>
      </w:r>
      <w:hyperlink r:id="rId29" w:history="1">
        <w:r>
          <w:rPr>
            <w:color w:val="0000FF"/>
          </w:rPr>
          <w:t>статьей 362</w:t>
        </w:r>
      </w:hyperlink>
      <w:r>
        <w:t xml:space="preserve"> Налогового кодекса Российской Федерации.</w:t>
      </w:r>
    </w:p>
    <w:p w:rsidR="004363DA" w:rsidRDefault="004363DA">
      <w:pPr>
        <w:pStyle w:val="ConsPlusNormal"/>
        <w:jc w:val="both"/>
      </w:pPr>
      <w:r>
        <w:t xml:space="preserve">(в ред. </w:t>
      </w:r>
      <w:hyperlink r:id="rId30" w:history="1">
        <w:r>
          <w:rPr>
            <w:color w:val="0000FF"/>
          </w:rPr>
          <w:t>Закона</w:t>
        </w:r>
      </w:hyperlink>
      <w:r>
        <w:t xml:space="preserve"> УР от 08.07.2015 N 47-РЗ)</w:t>
      </w:r>
    </w:p>
    <w:p w:rsidR="004363DA" w:rsidRDefault="004363DA">
      <w:pPr>
        <w:pStyle w:val="ConsPlusNormal"/>
        <w:spacing w:before="220"/>
        <w:ind w:firstLine="540"/>
        <w:jc w:val="both"/>
      </w:pPr>
      <w:r>
        <w:t>Налоговые ставки устанавливаются в расчете на одну лошадиную силу мощности двигателя транспортного средства, один килограмм силы тяги реактивного двигателя, одну регистровую тонну, одну единицу валовой вместимости транспортного средства или единицу транспортного средства в следующих размерах:</w:t>
      </w:r>
    </w:p>
    <w:p w:rsidR="004363DA" w:rsidRDefault="004363DA">
      <w:pPr>
        <w:pStyle w:val="ConsPlusNormal"/>
        <w:jc w:val="both"/>
      </w:pPr>
      <w:r>
        <w:t xml:space="preserve">(в ред. Законов УР от 28.11.2005 </w:t>
      </w:r>
      <w:hyperlink r:id="rId31" w:history="1">
        <w:r>
          <w:rPr>
            <w:color w:val="0000FF"/>
          </w:rPr>
          <w:t>N 59-РЗ</w:t>
        </w:r>
      </w:hyperlink>
      <w:r>
        <w:t xml:space="preserve">, от 29.11.2019 </w:t>
      </w:r>
      <w:hyperlink r:id="rId32" w:history="1">
        <w:r>
          <w:rPr>
            <w:color w:val="0000FF"/>
          </w:rPr>
          <w:t>N 66-РЗ</w:t>
        </w:r>
      </w:hyperlink>
      <w:r>
        <w:t>)</w:t>
      </w:r>
    </w:p>
    <w:p w:rsidR="004363DA" w:rsidRDefault="004363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2041"/>
      </w:tblGrid>
      <w:tr w:rsidR="004363DA">
        <w:tc>
          <w:tcPr>
            <w:tcW w:w="7030" w:type="dxa"/>
          </w:tcPr>
          <w:p w:rsidR="004363DA" w:rsidRDefault="004363DA">
            <w:pPr>
              <w:pStyle w:val="ConsPlusNormal"/>
              <w:jc w:val="center"/>
            </w:pPr>
            <w:r>
              <w:t>Наименование объекта налогообложения</w:t>
            </w:r>
          </w:p>
        </w:tc>
        <w:tc>
          <w:tcPr>
            <w:tcW w:w="2041" w:type="dxa"/>
          </w:tcPr>
          <w:p w:rsidR="004363DA" w:rsidRDefault="004363DA">
            <w:pPr>
              <w:pStyle w:val="ConsPlusNormal"/>
              <w:jc w:val="center"/>
            </w:pPr>
            <w:r>
              <w:t xml:space="preserve">Налоговая ставка (в </w:t>
            </w:r>
            <w:r>
              <w:lastRenderedPageBreak/>
              <w:t>рублях)</w:t>
            </w:r>
          </w:p>
        </w:tc>
      </w:tr>
      <w:tr w:rsidR="004363DA">
        <w:tc>
          <w:tcPr>
            <w:tcW w:w="7030" w:type="dxa"/>
          </w:tcPr>
          <w:p w:rsidR="004363DA" w:rsidRDefault="004363DA">
            <w:pPr>
              <w:pStyle w:val="ConsPlusNormal"/>
            </w:pPr>
            <w:r>
              <w:lastRenderedPageBreak/>
              <w:t>Автомобили легковые с мощностью двигателя</w:t>
            </w:r>
          </w:p>
          <w:p w:rsidR="004363DA" w:rsidRDefault="004363DA">
            <w:pPr>
              <w:pStyle w:val="ConsPlusNormal"/>
            </w:pPr>
            <w:r>
              <w:t>(с каждой лошадиной силы):</w:t>
            </w:r>
          </w:p>
          <w:p w:rsidR="004363DA" w:rsidRDefault="004363DA">
            <w:pPr>
              <w:pStyle w:val="ConsPlusNormal"/>
            </w:pPr>
            <w:r>
              <w:t>до 100 л. с. (до 73,55 кВт) включительно</w:t>
            </w:r>
          </w:p>
        </w:tc>
        <w:tc>
          <w:tcPr>
            <w:tcW w:w="2041" w:type="dxa"/>
          </w:tcPr>
          <w:p w:rsidR="004363DA" w:rsidRDefault="004363DA">
            <w:pPr>
              <w:pStyle w:val="ConsPlusNormal"/>
              <w:jc w:val="center"/>
            </w:pPr>
            <w:r>
              <w:t>14</w:t>
            </w:r>
          </w:p>
        </w:tc>
      </w:tr>
      <w:tr w:rsidR="004363DA">
        <w:tc>
          <w:tcPr>
            <w:tcW w:w="7030" w:type="dxa"/>
          </w:tcPr>
          <w:p w:rsidR="004363DA" w:rsidRDefault="004363DA">
            <w:pPr>
              <w:pStyle w:val="ConsPlusNormal"/>
            </w:pPr>
            <w:r>
              <w:t>свыше 100 л. с. до 150 л. с.</w:t>
            </w:r>
          </w:p>
          <w:p w:rsidR="004363DA" w:rsidRDefault="004363DA">
            <w:pPr>
              <w:pStyle w:val="ConsPlusNormal"/>
            </w:pPr>
            <w:r>
              <w:t>(свыше 73,55 кВт до 110,33 кВт) включительно</w:t>
            </w:r>
          </w:p>
        </w:tc>
        <w:tc>
          <w:tcPr>
            <w:tcW w:w="2041" w:type="dxa"/>
          </w:tcPr>
          <w:p w:rsidR="004363DA" w:rsidRDefault="004363DA">
            <w:pPr>
              <w:pStyle w:val="ConsPlusNormal"/>
              <w:jc w:val="center"/>
            </w:pPr>
            <w:r>
              <w:t>29</w:t>
            </w:r>
          </w:p>
        </w:tc>
      </w:tr>
      <w:tr w:rsidR="004363DA">
        <w:tc>
          <w:tcPr>
            <w:tcW w:w="7030" w:type="dxa"/>
          </w:tcPr>
          <w:p w:rsidR="004363DA" w:rsidRDefault="004363DA">
            <w:pPr>
              <w:pStyle w:val="ConsPlusNormal"/>
            </w:pPr>
            <w:r>
              <w:t>свыше 150 л. с. до 200 л. с.</w:t>
            </w:r>
          </w:p>
          <w:p w:rsidR="004363DA" w:rsidRDefault="004363DA">
            <w:pPr>
              <w:pStyle w:val="ConsPlusNormal"/>
            </w:pPr>
            <w:r>
              <w:t>(свыше 110,33 кВт до 147,1 кВт) включительно</w:t>
            </w:r>
          </w:p>
        </w:tc>
        <w:tc>
          <w:tcPr>
            <w:tcW w:w="2041" w:type="dxa"/>
          </w:tcPr>
          <w:p w:rsidR="004363DA" w:rsidRDefault="004363DA">
            <w:pPr>
              <w:pStyle w:val="ConsPlusNormal"/>
              <w:jc w:val="center"/>
            </w:pPr>
            <w:r>
              <w:t>50</w:t>
            </w:r>
          </w:p>
        </w:tc>
      </w:tr>
      <w:tr w:rsidR="004363DA">
        <w:tc>
          <w:tcPr>
            <w:tcW w:w="7030" w:type="dxa"/>
          </w:tcPr>
          <w:p w:rsidR="004363DA" w:rsidRDefault="004363DA">
            <w:pPr>
              <w:pStyle w:val="ConsPlusNormal"/>
            </w:pPr>
            <w:r>
              <w:t>свыше 200 л. с. до 250 л. с.</w:t>
            </w:r>
          </w:p>
          <w:p w:rsidR="004363DA" w:rsidRDefault="004363DA">
            <w:pPr>
              <w:pStyle w:val="ConsPlusNormal"/>
            </w:pPr>
            <w:r>
              <w:t>(свыше 147,1 кВт до 183,9 кВт) включительно</w:t>
            </w:r>
          </w:p>
        </w:tc>
        <w:tc>
          <w:tcPr>
            <w:tcW w:w="2041" w:type="dxa"/>
          </w:tcPr>
          <w:p w:rsidR="004363DA" w:rsidRDefault="004363DA">
            <w:pPr>
              <w:pStyle w:val="ConsPlusNormal"/>
              <w:jc w:val="center"/>
            </w:pPr>
            <w:r>
              <w:t>75</w:t>
            </w:r>
          </w:p>
        </w:tc>
      </w:tr>
      <w:tr w:rsidR="004363DA">
        <w:tc>
          <w:tcPr>
            <w:tcW w:w="7030" w:type="dxa"/>
          </w:tcPr>
          <w:p w:rsidR="004363DA" w:rsidRDefault="004363DA">
            <w:pPr>
              <w:pStyle w:val="ConsPlusNormal"/>
            </w:pPr>
            <w:r>
              <w:t>свыше 250 л. с. (свыше 183,9 кВт)</w:t>
            </w:r>
          </w:p>
        </w:tc>
        <w:tc>
          <w:tcPr>
            <w:tcW w:w="2041" w:type="dxa"/>
          </w:tcPr>
          <w:p w:rsidR="004363DA" w:rsidRDefault="004363DA">
            <w:pPr>
              <w:pStyle w:val="ConsPlusNormal"/>
              <w:jc w:val="center"/>
            </w:pPr>
            <w:r>
              <w:t>150</w:t>
            </w:r>
          </w:p>
        </w:tc>
      </w:tr>
      <w:tr w:rsidR="004363DA">
        <w:tc>
          <w:tcPr>
            <w:tcW w:w="7030" w:type="dxa"/>
          </w:tcPr>
          <w:p w:rsidR="004363DA" w:rsidRDefault="004363DA">
            <w:pPr>
              <w:pStyle w:val="ConsPlusNormal"/>
            </w:pPr>
            <w:r>
              <w:t>Мотоциклы и мотороллеры с мощностью двигателя</w:t>
            </w:r>
          </w:p>
          <w:p w:rsidR="004363DA" w:rsidRDefault="004363DA">
            <w:pPr>
              <w:pStyle w:val="ConsPlusNormal"/>
            </w:pPr>
            <w:r>
              <w:t>(с каждой лошадиной силы):</w:t>
            </w:r>
          </w:p>
          <w:p w:rsidR="004363DA" w:rsidRDefault="004363DA">
            <w:pPr>
              <w:pStyle w:val="ConsPlusNormal"/>
            </w:pPr>
            <w:r>
              <w:t>до 20 л. с. (до 14,7 кВт) включительно</w:t>
            </w:r>
          </w:p>
        </w:tc>
        <w:tc>
          <w:tcPr>
            <w:tcW w:w="2041" w:type="dxa"/>
          </w:tcPr>
          <w:p w:rsidR="004363DA" w:rsidRDefault="004363DA">
            <w:pPr>
              <w:pStyle w:val="ConsPlusNormal"/>
              <w:jc w:val="center"/>
            </w:pPr>
            <w:r>
              <w:t>6</w:t>
            </w:r>
          </w:p>
        </w:tc>
      </w:tr>
      <w:tr w:rsidR="004363DA">
        <w:tc>
          <w:tcPr>
            <w:tcW w:w="7030" w:type="dxa"/>
          </w:tcPr>
          <w:p w:rsidR="004363DA" w:rsidRDefault="004363DA">
            <w:pPr>
              <w:pStyle w:val="ConsPlusNormal"/>
            </w:pPr>
            <w:r>
              <w:t>свыше 20 л. с. до 35 л. с.</w:t>
            </w:r>
          </w:p>
          <w:p w:rsidR="004363DA" w:rsidRDefault="004363DA">
            <w:pPr>
              <w:pStyle w:val="ConsPlusNormal"/>
            </w:pPr>
            <w:r>
              <w:t>(свыше 14,7 кВт до 25,74 кВт) включительно</w:t>
            </w:r>
          </w:p>
        </w:tc>
        <w:tc>
          <w:tcPr>
            <w:tcW w:w="2041" w:type="dxa"/>
          </w:tcPr>
          <w:p w:rsidR="004363DA" w:rsidRDefault="004363DA">
            <w:pPr>
              <w:pStyle w:val="ConsPlusNormal"/>
              <w:jc w:val="center"/>
            </w:pPr>
            <w:r>
              <w:t>10</w:t>
            </w:r>
          </w:p>
        </w:tc>
      </w:tr>
      <w:tr w:rsidR="004363DA">
        <w:tc>
          <w:tcPr>
            <w:tcW w:w="7030" w:type="dxa"/>
          </w:tcPr>
          <w:p w:rsidR="004363DA" w:rsidRDefault="004363DA">
            <w:pPr>
              <w:pStyle w:val="ConsPlusNormal"/>
            </w:pPr>
            <w:r>
              <w:t>свыше 35 л. с. (свыше 25,74 кВт)</w:t>
            </w:r>
          </w:p>
        </w:tc>
        <w:tc>
          <w:tcPr>
            <w:tcW w:w="2041" w:type="dxa"/>
          </w:tcPr>
          <w:p w:rsidR="004363DA" w:rsidRDefault="004363DA">
            <w:pPr>
              <w:pStyle w:val="ConsPlusNormal"/>
              <w:jc w:val="center"/>
            </w:pPr>
            <w:r>
              <w:t>30</w:t>
            </w:r>
          </w:p>
        </w:tc>
      </w:tr>
      <w:tr w:rsidR="004363DA">
        <w:tc>
          <w:tcPr>
            <w:tcW w:w="7030" w:type="dxa"/>
          </w:tcPr>
          <w:p w:rsidR="004363DA" w:rsidRDefault="004363DA">
            <w:pPr>
              <w:pStyle w:val="ConsPlusNormal"/>
            </w:pPr>
            <w:r>
              <w:t>Автобусы с мощностью двигателя</w:t>
            </w:r>
          </w:p>
          <w:p w:rsidR="004363DA" w:rsidRDefault="004363DA">
            <w:pPr>
              <w:pStyle w:val="ConsPlusNormal"/>
            </w:pPr>
            <w:r>
              <w:t>(с каждой лошадиной силы):</w:t>
            </w:r>
          </w:p>
          <w:p w:rsidR="004363DA" w:rsidRDefault="004363DA">
            <w:pPr>
              <w:pStyle w:val="ConsPlusNormal"/>
            </w:pPr>
            <w:r>
              <w:t>до 200 л. с. (до 147,1 кВт) включительно</w:t>
            </w:r>
          </w:p>
        </w:tc>
        <w:tc>
          <w:tcPr>
            <w:tcW w:w="2041" w:type="dxa"/>
          </w:tcPr>
          <w:p w:rsidR="004363DA" w:rsidRDefault="004363DA">
            <w:pPr>
              <w:pStyle w:val="ConsPlusNormal"/>
              <w:jc w:val="center"/>
            </w:pPr>
            <w:r>
              <w:t>40</w:t>
            </w:r>
          </w:p>
        </w:tc>
      </w:tr>
      <w:tr w:rsidR="004363DA">
        <w:tc>
          <w:tcPr>
            <w:tcW w:w="7030" w:type="dxa"/>
          </w:tcPr>
          <w:p w:rsidR="004363DA" w:rsidRDefault="004363DA">
            <w:pPr>
              <w:pStyle w:val="ConsPlusNormal"/>
            </w:pPr>
            <w:r>
              <w:t>свыше 200 л. с. (свыше 147,1 кВт)</w:t>
            </w:r>
          </w:p>
        </w:tc>
        <w:tc>
          <w:tcPr>
            <w:tcW w:w="2041" w:type="dxa"/>
          </w:tcPr>
          <w:p w:rsidR="004363DA" w:rsidRDefault="004363DA">
            <w:pPr>
              <w:pStyle w:val="ConsPlusNormal"/>
              <w:jc w:val="center"/>
            </w:pPr>
            <w:r>
              <w:t>80</w:t>
            </w:r>
          </w:p>
        </w:tc>
      </w:tr>
      <w:tr w:rsidR="004363DA">
        <w:tc>
          <w:tcPr>
            <w:tcW w:w="7030" w:type="dxa"/>
          </w:tcPr>
          <w:p w:rsidR="004363DA" w:rsidRDefault="004363DA">
            <w:pPr>
              <w:pStyle w:val="ConsPlusNormal"/>
            </w:pPr>
            <w:r>
              <w:t>Грузовые автомобили с мощностью двигателя</w:t>
            </w:r>
          </w:p>
          <w:p w:rsidR="004363DA" w:rsidRDefault="004363DA">
            <w:pPr>
              <w:pStyle w:val="ConsPlusNormal"/>
            </w:pPr>
            <w:r>
              <w:t>(с каждой лошадиной силы):</w:t>
            </w:r>
          </w:p>
          <w:p w:rsidR="004363DA" w:rsidRDefault="004363DA">
            <w:pPr>
              <w:pStyle w:val="ConsPlusNormal"/>
            </w:pPr>
            <w:r>
              <w:t>до 100 л. с. (до 73,55 кВт) включительно</w:t>
            </w:r>
          </w:p>
        </w:tc>
        <w:tc>
          <w:tcPr>
            <w:tcW w:w="2041" w:type="dxa"/>
          </w:tcPr>
          <w:p w:rsidR="004363DA" w:rsidRDefault="004363DA">
            <w:pPr>
              <w:pStyle w:val="ConsPlusNormal"/>
              <w:jc w:val="center"/>
            </w:pPr>
            <w:r>
              <w:t>25</w:t>
            </w:r>
          </w:p>
        </w:tc>
      </w:tr>
      <w:tr w:rsidR="004363DA">
        <w:tc>
          <w:tcPr>
            <w:tcW w:w="7030" w:type="dxa"/>
          </w:tcPr>
          <w:p w:rsidR="004363DA" w:rsidRDefault="004363DA">
            <w:pPr>
              <w:pStyle w:val="ConsPlusNormal"/>
            </w:pPr>
            <w:r>
              <w:t>свыше 100 л. с. до 150 л. с.</w:t>
            </w:r>
          </w:p>
          <w:p w:rsidR="004363DA" w:rsidRDefault="004363DA">
            <w:pPr>
              <w:pStyle w:val="ConsPlusNormal"/>
            </w:pPr>
            <w:r>
              <w:t>(свыше 73,55 кВт до 110,33 кВт) включительно</w:t>
            </w:r>
          </w:p>
        </w:tc>
        <w:tc>
          <w:tcPr>
            <w:tcW w:w="2041" w:type="dxa"/>
          </w:tcPr>
          <w:p w:rsidR="004363DA" w:rsidRDefault="004363DA">
            <w:pPr>
              <w:pStyle w:val="ConsPlusNormal"/>
              <w:jc w:val="center"/>
            </w:pPr>
            <w:r>
              <w:t>40</w:t>
            </w:r>
          </w:p>
        </w:tc>
      </w:tr>
      <w:tr w:rsidR="004363DA">
        <w:tc>
          <w:tcPr>
            <w:tcW w:w="7030" w:type="dxa"/>
          </w:tcPr>
          <w:p w:rsidR="004363DA" w:rsidRDefault="004363DA">
            <w:pPr>
              <w:pStyle w:val="ConsPlusNormal"/>
            </w:pPr>
            <w:r>
              <w:t>свыше 150 л. с. до 200 л. с.</w:t>
            </w:r>
          </w:p>
          <w:p w:rsidR="004363DA" w:rsidRDefault="004363DA">
            <w:pPr>
              <w:pStyle w:val="ConsPlusNormal"/>
            </w:pPr>
            <w:r>
              <w:t>(свыше 110,33 кВт до 147,1 кВт) включительно</w:t>
            </w:r>
          </w:p>
        </w:tc>
        <w:tc>
          <w:tcPr>
            <w:tcW w:w="2041" w:type="dxa"/>
          </w:tcPr>
          <w:p w:rsidR="004363DA" w:rsidRDefault="004363DA">
            <w:pPr>
              <w:pStyle w:val="ConsPlusNormal"/>
              <w:jc w:val="center"/>
            </w:pPr>
            <w:r>
              <w:t>50</w:t>
            </w:r>
          </w:p>
        </w:tc>
      </w:tr>
      <w:tr w:rsidR="004363DA">
        <w:tc>
          <w:tcPr>
            <w:tcW w:w="7030" w:type="dxa"/>
          </w:tcPr>
          <w:p w:rsidR="004363DA" w:rsidRDefault="004363DA">
            <w:pPr>
              <w:pStyle w:val="ConsPlusNormal"/>
            </w:pPr>
            <w:r>
              <w:t>свыше 200 л. с. до 250 л. с.</w:t>
            </w:r>
          </w:p>
          <w:p w:rsidR="004363DA" w:rsidRDefault="004363DA">
            <w:pPr>
              <w:pStyle w:val="ConsPlusNormal"/>
            </w:pPr>
            <w:r>
              <w:t>(свыше 147,1 кВт до 183,9 кВт) включительно</w:t>
            </w:r>
          </w:p>
        </w:tc>
        <w:tc>
          <w:tcPr>
            <w:tcW w:w="2041" w:type="dxa"/>
          </w:tcPr>
          <w:p w:rsidR="004363DA" w:rsidRDefault="004363DA">
            <w:pPr>
              <w:pStyle w:val="ConsPlusNormal"/>
              <w:jc w:val="center"/>
            </w:pPr>
            <w:r>
              <w:t>65</w:t>
            </w:r>
          </w:p>
        </w:tc>
      </w:tr>
      <w:tr w:rsidR="004363DA">
        <w:tc>
          <w:tcPr>
            <w:tcW w:w="7030" w:type="dxa"/>
          </w:tcPr>
          <w:p w:rsidR="004363DA" w:rsidRDefault="004363DA">
            <w:pPr>
              <w:pStyle w:val="ConsPlusNormal"/>
            </w:pPr>
            <w:r>
              <w:t>свыше 250 л. с. (свыше 183,9 кВт)</w:t>
            </w:r>
          </w:p>
        </w:tc>
        <w:tc>
          <w:tcPr>
            <w:tcW w:w="2041" w:type="dxa"/>
          </w:tcPr>
          <w:p w:rsidR="004363DA" w:rsidRDefault="004363DA">
            <w:pPr>
              <w:pStyle w:val="ConsPlusNormal"/>
              <w:jc w:val="center"/>
            </w:pPr>
            <w:r>
              <w:t>85</w:t>
            </w:r>
          </w:p>
        </w:tc>
      </w:tr>
      <w:tr w:rsidR="004363DA">
        <w:tc>
          <w:tcPr>
            <w:tcW w:w="7030" w:type="dxa"/>
          </w:tcPr>
          <w:p w:rsidR="004363DA" w:rsidRDefault="004363DA">
            <w:pPr>
              <w:pStyle w:val="ConsPlusNormal"/>
            </w:pPr>
            <w:r>
              <w:t>Другие самоходные транспортные средства, машины и механизмы на пневматическом и гусеничном ходу (с каждой лошадиной силы)</w:t>
            </w:r>
          </w:p>
        </w:tc>
        <w:tc>
          <w:tcPr>
            <w:tcW w:w="2041" w:type="dxa"/>
          </w:tcPr>
          <w:p w:rsidR="004363DA" w:rsidRDefault="004363DA">
            <w:pPr>
              <w:pStyle w:val="ConsPlusNormal"/>
              <w:jc w:val="center"/>
            </w:pPr>
            <w:r>
              <w:t>25</w:t>
            </w:r>
          </w:p>
        </w:tc>
      </w:tr>
      <w:tr w:rsidR="004363DA">
        <w:tc>
          <w:tcPr>
            <w:tcW w:w="7030" w:type="dxa"/>
          </w:tcPr>
          <w:p w:rsidR="004363DA" w:rsidRDefault="004363DA">
            <w:pPr>
              <w:pStyle w:val="ConsPlusNormal"/>
            </w:pPr>
            <w:r>
              <w:t>Снегоходы, мотосани с мощностью двигателя</w:t>
            </w:r>
          </w:p>
          <w:p w:rsidR="004363DA" w:rsidRDefault="004363DA">
            <w:pPr>
              <w:pStyle w:val="ConsPlusNormal"/>
            </w:pPr>
            <w:r>
              <w:t>(с каждой лошадиной силы):</w:t>
            </w:r>
          </w:p>
          <w:p w:rsidR="004363DA" w:rsidRDefault="004363DA">
            <w:pPr>
              <w:pStyle w:val="ConsPlusNormal"/>
            </w:pPr>
            <w:r>
              <w:t>до 50 л. с. (до 36,77 кВт) включительно</w:t>
            </w:r>
          </w:p>
        </w:tc>
        <w:tc>
          <w:tcPr>
            <w:tcW w:w="2041" w:type="dxa"/>
          </w:tcPr>
          <w:p w:rsidR="004363DA" w:rsidRDefault="004363DA">
            <w:pPr>
              <w:pStyle w:val="ConsPlusNormal"/>
              <w:jc w:val="center"/>
            </w:pPr>
            <w:r>
              <w:t>25</w:t>
            </w:r>
          </w:p>
        </w:tc>
      </w:tr>
      <w:tr w:rsidR="004363DA">
        <w:tc>
          <w:tcPr>
            <w:tcW w:w="7030" w:type="dxa"/>
          </w:tcPr>
          <w:p w:rsidR="004363DA" w:rsidRDefault="004363DA">
            <w:pPr>
              <w:pStyle w:val="ConsPlusNormal"/>
            </w:pPr>
            <w:r>
              <w:t>свыше 50 л. с. (свыше 36,77 кВт)</w:t>
            </w:r>
          </w:p>
        </w:tc>
        <w:tc>
          <w:tcPr>
            <w:tcW w:w="2041" w:type="dxa"/>
          </w:tcPr>
          <w:p w:rsidR="004363DA" w:rsidRDefault="004363DA">
            <w:pPr>
              <w:pStyle w:val="ConsPlusNormal"/>
              <w:jc w:val="center"/>
            </w:pPr>
            <w:r>
              <w:t>45</w:t>
            </w:r>
          </w:p>
        </w:tc>
      </w:tr>
      <w:tr w:rsidR="004363DA">
        <w:tc>
          <w:tcPr>
            <w:tcW w:w="7030" w:type="dxa"/>
          </w:tcPr>
          <w:p w:rsidR="004363DA" w:rsidRDefault="004363DA">
            <w:pPr>
              <w:pStyle w:val="ConsPlusNormal"/>
            </w:pPr>
            <w:r>
              <w:t xml:space="preserve">Катера, моторные лодки и другие водные транспортные средства с </w:t>
            </w:r>
            <w:r>
              <w:lastRenderedPageBreak/>
              <w:t>мощностью двигателя</w:t>
            </w:r>
          </w:p>
          <w:p w:rsidR="004363DA" w:rsidRDefault="004363DA">
            <w:pPr>
              <w:pStyle w:val="ConsPlusNormal"/>
            </w:pPr>
            <w:r>
              <w:t>(с каждой лошадиной силы):</w:t>
            </w:r>
          </w:p>
          <w:p w:rsidR="004363DA" w:rsidRDefault="004363DA">
            <w:pPr>
              <w:pStyle w:val="ConsPlusNormal"/>
            </w:pPr>
            <w:r>
              <w:t>до 100 л. с. (до 73,55 кВт) включительно</w:t>
            </w:r>
          </w:p>
        </w:tc>
        <w:tc>
          <w:tcPr>
            <w:tcW w:w="2041" w:type="dxa"/>
          </w:tcPr>
          <w:p w:rsidR="004363DA" w:rsidRDefault="004363DA">
            <w:pPr>
              <w:pStyle w:val="ConsPlusNormal"/>
              <w:jc w:val="center"/>
            </w:pPr>
            <w:r>
              <w:lastRenderedPageBreak/>
              <w:t>50</w:t>
            </w:r>
          </w:p>
        </w:tc>
      </w:tr>
      <w:tr w:rsidR="004363DA">
        <w:tc>
          <w:tcPr>
            <w:tcW w:w="7030" w:type="dxa"/>
          </w:tcPr>
          <w:p w:rsidR="004363DA" w:rsidRDefault="004363DA">
            <w:pPr>
              <w:pStyle w:val="ConsPlusNormal"/>
            </w:pPr>
            <w:r>
              <w:lastRenderedPageBreak/>
              <w:t>свыше 100 л. с. (свыше 73,55 кВт)</w:t>
            </w:r>
          </w:p>
        </w:tc>
        <w:tc>
          <w:tcPr>
            <w:tcW w:w="2041" w:type="dxa"/>
          </w:tcPr>
          <w:p w:rsidR="004363DA" w:rsidRDefault="004363DA">
            <w:pPr>
              <w:pStyle w:val="ConsPlusNormal"/>
              <w:jc w:val="center"/>
            </w:pPr>
            <w:r>
              <w:t>90</w:t>
            </w:r>
          </w:p>
        </w:tc>
      </w:tr>
      <w:tr w:rsidR="004363DA">
        <w:tc>
          <w:tcPr>
            <w:tcW w:w="7030" w:type="dxa"/>
          </w:tcPr>
          <w:p w:rsidR="004363DA" w:rsidRDefault="004363DA">
            <w:pPr>
              <w:pStyle w:val="ConsPlusNormal"/>
            </w:pPr>
            <w:r>
              <w:t>Яхты и другие парусно-моторные суда с мощностью двигателя (с каждой лошадиной силы):</w:t>
            </w:r>
          </w:p>
          <w:p w:rsidR="004363DA" w:rsidRDefault="004363DA">
            <w:pPr>
              <w:pStyle w:val="ConsPlusNormal"/>
            </w:pPr>
            <w:r>
              <w:t>до 100 л. с. (до 73,55 кВт) включительно</w:t>
            </w:r>
          </w:p>
        </w:tc>
        <w:tc>
          <w:tcPr>
            <w:tcW w:w="2041" w:type="dxa"/>
          </w:tcPr>
          <w:p w:rsidR="004363DA" w:rsidRDefault="004363DA">
            <w:pPr>
              <w:pStyle w:val="ConsPlusNormal"/>
              <w:jc w:val="center"/>
            </w:pPr>
            <w:r>
              <w:t>100</w:t>
            </w:r>
          </w:p>
        </w:tc>
      </w:tr>
      <w:tr w:rsidR="004363DA">
        <w:tc>
          <w:tcPr>
            <w:tcW w:w="7030" w:type="dxa"/>
          </w:tcPr>
          <w:p w:rsidR="004363DA" w:rsidRDefault="004363DA">
            <w:pPr>
              <w:pStyle w:val="ConsPlusNormal"/>
            </w:pPr>
            <w:r>
              <w:t>свыше 100 л. с. (свыше 73,55 кВт)</w:t>
            </w:r>
          </w:p>
        </w:tc>
        <w:tc>
          <w:tcPr>
            <w:tcW w:w="2041" w:type="dxa"/>
          </w:tcPr>
          <w:p w:rsidR="004363DA" w:rsidRDefault="004363DA">
            <w:pPr>
              <w:pStyle w:val="ConsPlusNormal"/>
              <w:jc w:val="center"/>
            </w:pPr>
            <w:r>
              <w:t>200</w:t>
            </w:r>
          </w:p>
        </w:tc>
      </w:tr>
      <w:tr w:rsidR="004363DA">
        <w:tc>
          <w:tcPr>
            <w:tcW w:w="7030" w:type="dxa"/>
          </w:tcPr>
          <w:p w:rsidR="004363DA" w:rsidRDefault="004363DA">
            <w:pPr>
              <w:pStyle w:val="ConsPlusNormal"/>
            </w:pPr>
            <w:r>
              <w:t>Гидроциклы с мощностью двигателя</w:t>
            </w:r>
          </w:p>
          <w:p w:rsidR="004363DA" w:rsidRDefault="004363DA">
            <w:pPr>
              <w:pStyle w:val="ConsPlusNormal"/>
            </w:pPr>
            <w:r>
              <w:t>(с каждой лошадиной силы):</w:t>
            </w:r>
          </w:p>
          <w:p w:rsidR="004363DA" w:rsidRDefault="004363DA">
            <w:pPr>
              <w:pStyle w:val="ConsPlusNormal"/>
            </w:pPr>
            <w:r>
              <w:t>до 100 л. с. (до 73,55 кВт) включительно</w:t>
            </w:r>
          </w:p>
        </w:tc>
        <w:tc>
          <w:tcPr>
            <w:tcW w:w="2041" w:type="dxa"/>
          </w:tcPr>
          <w:p w:rsidR="004363DA" w:rsidRDefault="004363DA">
            <w:pPr>
              <w:pStyle w:val="ConsPlusNormal"/>
              <w:jc w:val="center"/>
            </w:pPr>
            <w:r>
              <w:t>125</w:t>
            </w:r>
          </w:p>
        </w:tc>
      </w:tr>
      <w:tr w:rsidR="004363DA">
        <w:tc>
          <w:tcPr>
            <w:tcW w:w="7030" w:type="dxa"/>
          </w:tcPr>
          <w:p w:rsidR="004363DA" w:rsidRDefault="004363DA">
            <w:pPr>
              <w:pStyle w:val="ConsPlusNormal"/>
            </w:pPr>
            <w:r>
              <w:t>свыше 100 л. с. (свыше 73,55 кВт)</w:t>
            </w:r>
          </w:p>
        </w:tc>
        <w:tc>
          <w:tcPr>
            <w:tcW w:w="2041" w:type="dxa"/>
          </w:tcPr>
          <w:p w:rsidR="004363DA" w:rsidRDefault="004363DA">
            <w:pPr>
              <w:pStyle w:val="ConsPlusNormal"/>
              <w:jc w:val="center"/>
            </w:pPr>
            <w:r>
              <w:t>300</w:t>
            </w:r>
          </w:p>
        </w:tc>
      </w:tr>
      <w:tr w:rsidR="004363DA">
        <w:tblPrEx>
          <w:tblBorders>
            <w:insideH w:val="nil"/>
          </w:tblBorders>
        </w:tblPrEx>
        <w:tc>
          <w:tcPr>
            <w:tcW w:w="7030" w:type="dxa"/>
            <w:tcBorders>
              <w:bottom w:val="nil"/>
            </w:tcBorders>
          </w:tcPr>
          <w:p w:rsidR="004363DA" w:rsidRDefault="004363DA">
            <w:pPr>
              <w:pStyle w:val="ConsPlusNormal"/>
            </w:pPr>
            <w:r>
              <w:t>Несамоходные (буксируемые) суда, для которых определяется валовая вместимость (с каждой регистровой тонны или единицы валовой вместимости в случае, если валовая вместимость определена без указания размерности)</w:t>
            </w:r>
          </w:p>
        </w:tc>
        <w:tc>
          <w:tcPr>
            <w:tcW w:w="2041" w:type="dxa"/>
            <w:tcBorders>
              <w:bottom w:val="nil"/>
            </w:tcBorders>
          </w:tcPr>
          <w:p w:rsidR="004363DA" w:rsidRDefault="004363DA">
            <w:pPr>
              <w:pStyle w:val="ConsPlusNormal"/>
              <w:jc w:val="center"/>
            </w:pPr>
            <w:r>
              <w:t>150</w:t>
            </w:r>
          </w:p>
        </w:tc>
      </w:tr>
      <w:tr w:rsidR="004363DA">
        <w:tblPrEx>
          <w:tblBorders>
            <w:insideH w:val="nil"/>
          </w:tblBorders>
        </w:tblPrEx>
        <w:tc>
          <w:tcPr>
            <w:tcW w:w="9071" w:type="dxa"/>
            <w:gridSpan w:val="2"/>
            <w:tcBorders>
              <w:top w:val="nil"/>
            </w:tcBorders>
          </w:tcPr>
          <w:p w:rsidR="004363DA" w:rsidRDefault="004363DA">
            <w:pPr>
              <w:pStyle w:val="ConsPlusNormal"/>
              <w:jc w:val="both"/>
            </w:pPr>
            <w:r>
              <w:t xml:space="preserve">(в ред. </w:t>
            </w:r>
            <w:hyperlink r:id="rId33" w:history="1">
              <w:r>
                <w:rPr>
                  <w:color w:val="0000FF"/>
                </w:rPr>
                <w:t>Закона</w:t>
              </w:r>
            </w:hyperlink>
            <w:r>
              <w:t xml:space="preserve"> УР от 29.11.2019 N 66-РЗ)</w:t>
            </w:r>
          </w:p>
        </w:tc>
      </w:tr>
      <w:tr w:rsidR="004363DA">
        <w:tc>
          <w:tcPr>
            <w:tcW w:w="7030" w:type="dxa"/>
          </w:tcPr>
          <w:p w:rsidR="004363DA" w:rsidRDefault="004363DA">
            <w:pPr>
              <w:pStyle w:val="ConsPlusNormal"/>
            </w:pPr>
            <w:r>
              <w:t>Самолеты, вертолеты и иные воздушные суда, имеющие двигатели (с каждой лошадиной силы)</w:t>
            </w:r>
          </w:p>
        </w:tc>
        <w:tc>
          <w:tcPr>
            <w:tcW w:w="2041" w:type="dxa"/>
          </w:tcPr>
          <w:p w:rsidR="004363DA" w:rsidRDefault="004363DA">
            <w:pPr>
              <w:pStyle w:val="ConsPlusNormal"/>
              <w:jc w:val="center"/>
            </w:pPr>
            <w:r>
              <w:t>150</w:t>
            </w:r>
          </w:p>
        </w:tc>
      </w:tr>
      <w:tr w:rsidR="004363DA">
        <w:tc>
          <w:tcPr>
            <w:tcW w:w="7030" w:type="dxa"/>
          </w:tcPr>
          <w:p w:rsidR="004363DA" w:rsidRDefault="004363DA">
            <w:pPr>
              <w:pStyle w:val="ConsPlusNormal"/>
            </w:pPr>
            <w:r>
              <w:t>Самолеты, имеющие реактивные двигатели (с каждого килограмма силы тяги)</w:t>
            </w:r>
          </w:p>
        </w:tc>
        <w:tc>
          <w:tcPr>
            <w:tcW w:w="2041" w:type="dxa"/>
          </w:tcPr>
          <w:p w:rsidR="004363DA" w:rsidRDefault="004363DA">
            <w:pPr>
              <w:pStyle w:val="ConsPlusNormal"/>
              <w:jc w:val="center"/>
            </w:pPr>
            <w:r>
              <w:t>120</w:t>
            </w:r>
          </w:p>
        </w:tc>
      </w:tr>
      <w:tr w:rsidR="004363DA">
        <w:tc>
          <w:tcPr>
            <w:tcW w:w="7030" w:type="dxa"/>
          </w:tcPr>
          <w:p w:rsidR="004363DA" w:rsidRDefault="004363DA">
            <w:pPr>
              <w:pStyle w:val="ConsPlusNormal"/>
            </w:pPr>
            <w:r>
              <w:t>Другие водные и воздушные транспортные средства, не имеющие двигателей</w:t>
            </w:r>
          </w:p>
          <w:p w:rsidR="004363DA" w:rsidRDefault="004363DA">
            <w:pPr>
              <w:pStyle w:val="ConsPlusNormal"/>
            </w:pPr>
            <w:r>
              <w:t>(с единицы транспортного средства)</w:t>
            </w:r>
          </w:p>
        </w:tc>
        <w:tc>
          <w:tcPr>
            <w:tcW w:w="2041" w:type="dxa"/>
          </w:tcPr>
          <w:p w:rsidR="004363DA" w:rsidRDefault="004363DA">
            <w:pPr>
              <w:pStyle w:val="ConsPlusNormal"/>
              <w:jc w:val="center"/>
            </w:pPr>
            <w:r>
              <w:t>1500</w:t>
            </w:r>
          </w:p>
        </w:tc>
      </w:tr>
    </w:tbl>
    <w:p w:rsidR="004363DA" w:rsidRDefault="004363DA">
      <w:pPr>
        <w:pStyle w:val="ConsPlusNormal"/>
        <w:ind w:firstLine="540"/>
        <w:jc w:val="both"/>
      </w:pPr>
    </w:p>
    <w:p w:rsidR="004363DA" w:rsidRDefault="004363DA">
      <w:pPr>
        <w:pStyle w:val="ConsPlusNormal"/>
        <w:jc w:val="both"/>
      </w:pPr>
      <w:r>
        <w:t xml:space="preserve">(таблица в ред. </w:t>
      </w:r>
      <w:hyperlink r:id="rId34" w:history="1">
        <w:r>
          <w:rPr>
            <w:color w:val="0000FF"/>
          </w:rPr>
          <w:t>Закона</w:t>
        </w:r>
      </w:hyperlink>
      <w:r>
        <w:t xml:space="preserve"> УР от 29.11.2018 N 74-РЗ)</w:t>
      </w:r>
    </w:p>
    <w:p w:rsidR="004363DA" w:rsidRDefault="004363DA">
      <w:pPr>
        <w:pStyle w:val="ConsPlusNormal"/>
        <w:ind w:firstLine="540"/>
        <w:jc w:val="both"/>
      </w:pPr>
    </w:p>
    <w:p w:rsidR="004363DA" w:rsidRDefault="004363DA">
      <w:pPr>
        <w:pStyle w:val="ConsPlusTitle"/>
        <w:ind w:firstLine="540"/>
        <w:jc w:val="both"/>
        <w:outlineLvl w:val="1"/>
      </w:pPr>
      <w:r>
        <w:t>Статья 3. Налоговые льготы</w:t>
      </w:r>
    </w:p>
    <w:p w:rsidR="004363DA" w:rsidRDefault="004363DA">
      <w:pPr>
        <w:pStyle w:val="ConsPlusNormal"/>
        <w:ind w:firstLine="540"/>
        <w:jc w:val="both"/>
      </w:pPr>
    </w:p>
    <w:p w:rsidR="004363DA" w:rsidRDefault="004363DA">
      <w:pPr>
        <w:pStyle w:val="ConsPlusNormal"/>
        <w:ind w:firstLine="540"/>
        <w:jc w:val="both"/>
      </w:pPr>
      <w:r>
        <w:t>1. Освобождаются от уплаты налога по одному транспортному средству, мощность двигателя которого не превышает 150 лошадиных сил (110,33 кВт), по выбору налогоплательщика:</w:t>
      </w:r>
    </w:p>
    <w:p w:rsidR="004363DA" w:rsidRDefault="004363DA">
      <w:pPr>
        <w:pStyle w:val="ConsPlusNormal"/>
        <w:jc w:val="both"/>
      </w:pPr>
      <w:r>
        <w:t xml:space="preserve">(в ред. </w:t>
      </w:r>
      <w:hyperlink r:id="rId35" w:history="1">
        <w:r>
          <w:rPr>
            <w:color w:val="0000FF"/>
          </w:rPr>
          <w:t>Закона</w:t>
        </w:r>
      </w:hyperlink>
      <w:r>
        <w:t xml:space="preserve"> УР от 07.06.2012 N 24-РЗ)</w:t>
      </w:r>
    </w:p>
    <w:p w:rsidR="004363DA" w:rsidRDefault="004363DA">
      <w:pPr>
        <w:pStyle w:val="ConsPlusNormal"/>
        <w:spacing w:before="220"/>
        <w:ind w:firstLine="540"/>
        <w:jc w:val="both"/>
      </w:pPr>
      <w:r>
        <w:t>Герои Советского Союза;</w:t>
      </w:r>
    </w:p>
    <w:p w:rsidR="004363DA" w:rsidRDefault="004363DA">
      <w:pPr>
        <w:pStyle w:val="ConsPlusNormal"/>
        <w:spacing w:before="220"/>
        <w:ind w:firstLine="540"/>
        <w:jc w:val="both"/>
      </w:pPr>
      <w:r>
        <w:t>Герои Российской Федерации;</w:t>
      </w:r>
    </w:p>
    <w:p w:rsidR="004363DA" w:rsidRDefault="004363DA">
      <w:pPr>
        <w:pStyle w:val="ConsPlusNormal"/>
        <w:spacing w:before="220"/>
        <w:ind w:firstLine="540"/>
        <w:jc w:val="both"/>
      </w:pPr>
      <w:r>
        <w:t>Герои Социалистического Труда;</w:t>
      </w:r>
    </w:p>
    <w:p w:rsidR="004363DA" w:rsidRDefault="004363DA">
      <w:pPr>
        <w:pStyle w:val="ConsPlusNormal"/>
        <w:spacing w:before="220"/>
        <w:ind w:firstLine="540"/>
        <w:jc w:val="both"/>
      </w:pPr>
      <w:r>
        <w:t>граждане, награжденные орденами Славы трех степеней;</w:t>
      </w:r>
    </w:p>
    <w:p w:rsidR="004363DA" w:rsidRDefault="004363DA">
      <w:pPr>
        <w:pStyle w:val="ConsPlusNormal"/>
        <w:spacing w:before="220"/>
        <w:ind w:firstLine="540"/>
        <w:jc w:val="both"/>
      </w:pPr>
      <w:r>
        <w:t xml:space="preserve">абзац исключен. - </w:t>
      </w:r>
      <w:hyperlink r:id="rId36" w:history="1">
        <w:r>
          <w:rPr>
            <w:color w:val="0000FF"/>
          </w:rPr>
          <w:t>Закон</w:t>
        </w:r>
      </w:hyperlink>
      <w:r>
        <w:t xml:space="preserve"> УР от 28.11.2005 N 59-РЗ;</w:t>
      </w:r>
    </w:p>
    <w:p w:rsidR="004363DA" w:rsidRDefault="004363DA">
      <w:pPr>
        <w:pStyle w:val="ConsPlusNormal"/>
        <w:spacing w:before="220"/>
        <w:ind w:firstLine="540"/>
        <w:jc w:val="both"/>
      </w:pPr>
      <w:proofErr w:type="gramStart"/>
      <w:r>
        <w:t xml:space="preserve">лица, относящиеся в соответствии с </w:t>
      </w:r>
      <w:hyperlink r:id="rId37"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к категории граждан, подвергшихся воздействию радиации вследствие чернобыльской катастрофы, </w:t>
      </w:r>
      <w:r>
        <w:lastRenderedPageBreak/>
        <w:t xml:space="preserve">а также лица, указанные в </w:t>
      </w:r>
      <w:hyperlink r:id="rId38" w:history="1">
        <w:r>
          <w:rPr>
            <w:color w:val="0000FF"/>
          </w:rPr>
          <w:t>пункте 1</w:t>
        </w:r>
      </w:hyperlink>
      <w:r>
        <w:t xml:space="preserve"> постановления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w:t>
      </w:r>
      <w:proofErr w:type="gramEnd"/>
      <w:r>
        <w:t xml:space="preserve"> вследствие катастрофы на Чернобыльской АЭС" на граждан из подразделений особого риска";</w:t>
      </w:r>
    </w:p>
    <w:p w:rsidR="004363DA" w:rsidRDefault="004363DA">
      <w:pPr>
        <w:pStyle w:val="ConsPlusNormal"/>
        <w:spacing w:before="220"/>
        <w:ind w:firstLine="540"/>
        <w:jc w:val="both"/>
      </w:pPr>
      <w:r>
        <w:t xml:space="preserve">лица, указанные в </w:t>
      </w:r>
      <w:hyperlink r:id="rId39" w:history="1">
        <w:r>
          <w:rPr>
            <w:color w:val="0000FF"/>
          </w:rPr>
          <w:t>части 1</w:t>
        </w:r>
      </w:hyperlink>
      <w:r>
        <w:t xml:space="preserve"> статьи 1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4363DA" w:rsidRDefault="004363DA">
      <w:pPr>
        <w:pStyle w:val="ConsPlusNormal"/>
        <w:spacing w:before="220"/>
        <w:ind w:firstLine="540"/>
        <w:jc w:val="both"/>
      </w:pPr>
      <w:r>
        <w:t xml:space="preserve">лица, относящиеся в соответствии с Федеральным </w:t>
      </w:r>
      <w:hyperlink r:id="rId40" w:history="1">
        <w:r>
          <w:rPr>
            <w:color w:val="0000FF"/>
          </w:rPr>
          <w:t>законом</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к категории граждан, подвергшихся воздействию радиации в результате ядерных испытаний на Семипалатинском полигоне.</w:t>
      </w:r>
    </w:p>
    <w:p w:rsidR="004363DA" w:rsidRDefault="004363DA">
      <w:pPr>
        <w:pStyle w:val="ConsPlusNormal"/>
        <w:jc w:val="both"/>
      </w:pPr>
      <w:r>
        <w:t xml:space="preserve">(п. 1 в ред. </w:t>
      </w:r>
      <w:hyperlink r:id="rId41" w:history="1">
        <w:r>
          <w:rPr>
            <w:color w:val="0000FF"/>
          </w:rPr>
          <w:t>Закона</w:t>
        </w:r>
      </w:hyperlink>
      <w:r>
        <w:t xml:space="preserve"> УР от 01.07.2003 N 22-РЗ)</w:t>
      </w:r>
    </w:p>
    <w:p w:rsidR="004363DA" w:rsidRDefault="004363DA">
      <w:pPr>
        <w:pStyle w:val="ConsPlusNormal"/>
        <w:spacing w:before="220"/>
        <w:ind w:firstLine="540"/>
        <w:jc w:val="both"/>
      </w:pPr>
      <w:r>
        <w:t>1.1. Освобождаются от уплаты транспортного налога по одному транспортному средству по выбору налогоплательщика ветераны Великой Отечественной войны.</w:t>
      </w:r>
    </w:p>
    <w:p w:rsidR="004363DA" w:rsidRDefault="004363DA">
      <w:pPr>
        <w:pStyle w:val="ConsPlusNormal"/>
        <w:jc w:val="both"/>
      </w:pPr>
      <w:r>
        <w:t>(</w:t>
      </w:r>
      <w:proofErr w:type="gramStart"/>
      <w:r>
        <w:t>п</w:t>
      </w:r>
      <w:proofErr w:type="gramEnd"/>
      <w:r>
        <w:t xml:space="preserve">. 1.1 введен </w:t>
      </w:r>
      <w:hyperlink r:id="rId42" w:history="1">
        <w:r>
          <w:rPr>
            <w:color w:val="0000FF"/>
          </w:rPr>
          <w:t>Законом</w:t>
        </w:r>
      </w:hyperlink>
      <w:r>
        <w:t xml:space="preserve"> УР от 28.11.2005 N 59-РЗ)</w:t>
      </w:r>
    </w:p>
    <w:p w:rsidR="004363DA" w:rsidRDefault="004363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363DA">
        <w:trPr>
          <w:jc w:val="center"/>
        </w:trPr>
        <w:tc>
          <w:tcPr>
            <w:tcW w:w="9294" w:type="dxa"/>
            <w:tcBorders>
              <w:top w:val="nil"/>
              <w:left w:val="single" w:sz="24" w:space="0" w:color="CED3F1"/>
              <w:bottom w:val="nil"/>
              <w:right w:val="single" w:sz="24" w:space="0" w:color="F4F3F8"/>
            </w:tcBorders>
            <w:shd w:val="clear" w:color="auto" w:fill="F4F3F8"/>
          </w:tcPr>
          <w:p w:rsidR="004363DA" w:rsidRDefault="004363DA">
            <w:pPr>
              <w:pStyle w:val="ConsPlusNormal"/>
              <w:jc w:val="both"/>
            </w:pPr>
            <w:hyperlink r:id="rId43" w:history="1">
              <w:r>
                <w:rPr>
                  <w:color w:val="0000FF"/>
                </w:rPr>
                <w:t>Законом</w:t>
              </w:r>
            </w:hyperlink>
            <w:r>
              <w:rPr>
                <w:color w:val="392C69"/>
              </w:rPr>
              <w:t xml:space="preserve"> УР от 16.11.2018 N 73-РЗ в пункт 2 вносились изменения, которые были признаны утратившими силу.</w:t>
            </w:r>
          </w:p>
        </w:tc>
      </w:tr>
    </w:tbl>
    <w:p w:rsidR="004363DA" w:rsidRDefault="004363DA">
      <w:pPr>
        <w:pStyle w:val="ConsPlusNormal"/>
        <w:spacing w:before="280"/>
        <w:ind w:firstLine="540"/>
        <w:jc w:val="both"/>
      </w:pPr>
      <w:r>
        <w:t xml:space="preserve">2. Транспортный налог по ставке, составляющей 50 процентов от размера соответствующей ставки налога, предусмотренной статьей 2 настоящего Закона, уплачивают следующие категории лиц, признаваемые налогоплательщиками в соответствии со </w:t>
      </w:r>
      <w:hyperlink r:id="rId44" w:history="1">
        <w:r>
          <w:rPr>
            <w:color w:val="0000FF"/>
          </w:rPr>
          <w:t>статьей 357</w:t>
        </w:r>
      </w:hyperlink>
      <w:r>
        <w:t xml:space="preserve"> Налогового кодекса Российской Федерации:</w:t>
      </w:r>
    </w:p>
    <w:p w:rsidR="004363DA" w:rsidRDefault="004363DA">
      <w:pPr>
        <w:pStyle w:val="ConsPlusNormal"/>
        <w:spacing w:before="220"/>
        <w:ind w:firstLine="540"/>
        <w:jc w:val="both"/>
      </w:pPr>
      <w:r>
        <w:t>1) пенсионеры всех категорий;</w:t>
      </w:r>
    </w:p>
    <w:p w:rsidR="004363DA" w:rsidRDefault="004363DA">
      <w:pPr>
        <w:pStyle w:val="ConsPlusNormal"/>
        <w:spacing w:before="220"/>
        <w:ind w:firstLine="540"/>
        <w:jc w:val="both"/>
      </w:pPr>
      <w:r>
        <w:t>2) физические лица, достигшие возраста 55 лет для женщин и 60 лет для мужчин;</w:t>
      </w:r>
    </w:p>
    <w:p w:rsidR="004363DA" w:rsidRDefault="004363DA">
      <w:pPr>
        <w:pStyle w:val="ConsPlusNormal"/>
        <w:spacing w:before="220"/>
        <w:ind w:firstLine="540"/>
        <w:jc w:val="both"/>
      </w:pPr>
      <w:r>
        <w:t>3)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4363DA" w:rsidRDefault="004363DA">
      <w:pPr>
        <w:pStyle w:val="ConsPlusNormal"/>
        <w:spacing w:before="220"/>
        <w:ind w:firstLine="540"/>
        <w:jc w:val="both"/>
      </w:pPr>
      <w:r>
        <w:t>Налоговая льгота, предусмотренная настоящим пунктом, применяется по выбору налогоплательщика только по одному из зарегистрированных за ним транспортных средств, мощность двигателя которого не превышает 150 лошадиных сил (110,33 кВт).</w:t>
      </w:r>
    </w:p>
    <w:p w:rsidR="004363DA" w:rsidRDefault="004363DA">
      <w:pPr>
        <w:pStyle w:val="ConsPlusNormal"/>
        <w:jc w:val="both"/>
      </w:pPr>
      <w:r>
        <w:t xml:space="preserve">(п. 2 в ред. </w:t>
      </w:r>
      <w:hyperlink r:id="rId45" w:history="1">
        <w:r>
          <w:rPr>
            <w:color w:val="0000FF"/>
          </w:rPr>
          <w:t>Закона</w:t>
        </w:r>
      </w:hyperlink>
      <w:r>
        <w:t xml:space="preserve"> УР от 29.11.2018 N 74-РЗ)</w:t>
      </w:r>
    </w:p>
    <w:p w:rsidR="004363DA" w:rsidRDefault="004363DA">
      <w:pPr>
        <w:pStyle w:val="ConsPlusNormal"/>
        <w:spacing w:before="220"/>
        <w:ind w:firstLine="540"/>
        <w:jc w:val="both"/>
      </w:pPr>
      <w:r>
        <w:t xml:space="preserve">2.1. Инвалиды боевых действий, которым </w:t>
      </w:r>
      <w:proofErr w:type="gramStart"/>
      <w:r>
        <w:t>оказываются меры</w:t>
      </w:r>
      <w:proofErr w:type="gramEnd"/>
      <w:r>
        <w:t xml:space="preserve"> социальной поддержки в соответствии с Федеральным </w:t>
      </w:r>
      <w:hyperlink r:id="rId46" w:history="1">
        <w:r>
          <w:rPr>
            <w:color w:val="0000FF"/>
          </w:rPr>
          <w:t>законом</w:t>
        </w:r>
      </w:hyperlink>
      <w:r>
        <w:t xml:space="preserve"> "О ветеранах", освобождаются от уплаты налога по одному транспортному средству, мощность двигателя которого не превышает 150 лошадиных сил (110,33 кВт) включительно.</w:t>
      </w:r>
    </w:p>
    <w:p w:rsidR="004363DA" w:rsidRDefault="004363DA">
      <w:pPr>
        <w:pStyle w:val="ConsPlusNormal"/>
        <w:jc w:val="both"/>
      </w:pPr>
      <w:r>
        <w:t>(</w:t>
      </w:r>
      <w:proofErr w:type="gramStart"/>
      <w:r>
        <w:t>п</w:t>
      </w:r>
      <w:proofErr w:type="gramEnd"/>
      <w:r>
        <w:t xml:space="preserve">. 2.1 введен </w:t>
      </w:r>
      <w:hyperlink r:id="rId47" w:history="1">
        <w:r>
          <w:rPr>
            <w:color w:val="0000FF"/>
          </w:rPr>
          <w:t>Законом</w:t>
        </w:r>
      </w:hyperlink>
      <w:r>
        <w:t xml:space="preserve"> УР от 07.06.2012 N 24-РЗ)</w:t>
      </w:r>
    </w:p>
    <w:p w:rsidR="004363DA" w:rsidRDefault="004363DA">
      <w:pPr>
        <w:pStyle w:val="ConsPlusNormal"/>
        <w:spacing w:before="220"/>
        <w:ind w:firstLine="540"/>
        <w:jc w:val="both"/>
      </w:pPr>
      <w:r>
        <w:t xml:space="preserve">2.2. Ветераны боевых действий, которым </w:t>
      </w:r>
      <w:proofErr w:type="gramStart"/>
      <w:r>
        <w:t>оказываются меры</w:t>
      </w:r>
      <w:proofErr w:type="gramEnd"/>
      <w:r>
        <w:t xml:space="preserve"> социальной поддержки в соответствии с Федеральным </w:t>
      </w:r>
      <w:hyperlink r:id="rId48" w:history="1">
        <w:r>
          <w:rPr>
            <w:color w:val="0000FF"/>
          </w:rPr>
          <w:t>законом</w:t>
        </w:r>
      </w:hyperlink>
      <w:r>
        <w:t xml:space="preserve"> "О ветеранах", уплачивают транспортный налог по одному транспортному средству, мощность двигателя которого не превышает 150 лошадиных сил (110,33 кВт), по ставке 50 процентов от размера соответствующей ставки налога, предусмотренной </w:t>
      </w:r>
      <w:hyperlink w:anchor="P29" w:history="1">
        <w:r>
          <w:rPr>
            <w:color w:val="0000FF"/>
          </w:rPr>
          <w:t>статьей 2</w:t>
        </w:r>
      </w:hyperlink>
      <w:r>
        <w:t xml:space="preserve"> настоящего Закона.</w:t>
      </w:r>
    </w:p>
    <w:p w:rsidR="004363DA" w:rsidRDefault="004363DA">
      <w:pPr>
        <w:pStyle w:val="ConsPlusNormal"/>
        <w:jc w:val="both"/>
      </w:pPr>
      <w:r>
        <w:t>(</w:t>
      </w:r>
      <w:proofErr w:type="gramStart"/>
      <w:r>
        <w:t>п</w:t>
      </w:r>
      <w:proofErr w:type="gramEnd"/>
      <w:r>
        <w:t xml:space="preserve">. 2.2 введен </w:t>
      </w:r>
      <w:hyperlink r:id="rId49" w:history="1">
        <w:r>
          <w:rPr>
            <w:color w:val="0000FF"/>
          </w:rPr>
          <w:t>Законом</w:t>
        </w:r>
      </w:hyperlink>
      <w:r>
        <w:t xml:space="preserve"> УР от 07.06.2012 N 24-РЗ; в ред. </w:t>
      </w:r>
      <w:hyperlink r:id="rId50" w:history="1">
        <w:r>
          <w:rPr>
            <w:color w:val="0000FF"/>
          </w:rPr>
          <w:t>Закона</w:t>
        </w:r>
      </w:hyperlink>
      <w:r>
        <w:t xml:space="preserve"> УР от 29.11.2018 N 74-РЗ)</w:t>
      </w:r>
    </w:p>
    <w:p w:rsidR="004363DA" w:rsidRDefault="004363DA">
      <w:pPr>
        <w:pStyle w:val="ConsPlusNormal"/>
        <w:spacing w:before="220"/>
        <w:ind w:firstLine="540"/>
        <w:jc w:val="both"/>
      </w:pPr>
      <w:r>
        <w:t xml:space="preserve">2.2.1. Один из членов многодетной семьи уплачивает транспортный налог по одному транспортному средству, мощность двигателя которого не превышает 150 лошадиных сил (110,33 </w:t>
      </w:r>
      <w:r>
        <w:lastRenderedPageBreak/>
        <w:t xml:space="preserve">кВт), по ставке 50 процентов от размера соответствующей ставки налога, предусмотренной </w:t>
      </w:r>
      <w:hyperlink w:anchor="P29" w:history="1">
        <w:r>
          <w:rPr>
            <w:color w:val="0000FF"/>
          </w:rPr>
          <w:t>статьей 2</w:t>
        </w:r>
      </w:hyperlink>
      <w:r>
        <w:t xml:space="preserve"> настоящего Закона.</w:t>
      </w:r>
    </w:p>
    <w:p w:rsidR="004363DA" w:rsidRDefault="004363DA">
      <w:pPr>
        <w:pStyle w:val="ConsPlusNormal"/>
        <w:jc w:val="both"/>
      </w:pPr>
      <w:r>
        <w:t>(</w:t>
      </w:r>
      <w:proofErr w:type="gramStart"/>
      <w:r>
        <w:t>п</w:t>
      </w:r>
      <w:proofErr w:type="gramEnd"/>
      <w:r>
        <w:t xml:space="preserve">. 2.2.1 введен </w:t>
      </w:r>
      <w:hyperlink r:id="rId51" w:history="1">
        <w:r>
          <w:rPr>
            <w:color w:val="0000FF"/>
          </w:rPr>
          <w:t>Законом</w:t>
        </w:r>
      </w:hyperlink>
      <w:r>
        <w:t xml:space="preserve"> УР от 16.11.2018 N 73-РЗ; в ред. </w:t>
      </w:r>
      <w:hyperlink r:id="rId52" w:history="1">
        <w:r>
          <w:rPr>
            <w:color w:val="0000FF"/>
          </w:rPr>
          <w:t>Закона</w:t>
        </w:r>
      </w:hyperlink>
      <w:r>
        <w:t xml:space="preserve"> УР от 07.10.2019 N 52-РЗ)</w:t>
      </w:r>
    </w:p>
    <w:p w:rsidR="004363DA" w:rsidRDefault="004363DA">
      <w:pPr>
        <w:pStyle w:val="ConsPlusNormal"/>
        <w:spacing w:before="220"/>
        <w:ind w:firstLine="540"/>
        <w:jc w:val="both"/>
      </w:pPr>
      <w:r>
        <w:t xml:space="preserve">2.3. Налоговые льготы налогоплательщикам - физическим лицам предоставляются в порядке, установленном </w:t>
      </w:r>
      <w:hyperlink r:id="rId53" w:history="1">
        <w:r>
          <w:rPr>
            <w:color w:val="0000FF"/>
          </w:rPr>
          <w:t>пунктом 3 статьи 361.1</w:t>
        </w:r>
      </w:hyperlink>
      <w:r>
        <w:t xml:space="preserve"> Налогового кодекса Российской Федерации.</w:t>
      </w:r>
    </w:p>
    <w:p w:rsidR="004363DA" w:rsidRDefault="004363DA">
      <w:pPr>
        <w:pStyle w:val="ConsPlusNormal"/>
        <w:jc w:val="both"/>
      </w:pPr>
      <w:r>
        <w:t>(</w:t>
      </w:r>
      <w:proofErr w:type="gramStart"/>
      <w:r>
        <w:t>п</w:t>
      </w:r>
      <w:proofErr w:type="gramEnd"/>
      <w:r>
        <w:t xml:space="preserve">. 2.3 в ред. </w:t>
      </w:r>
      <w:hyperlink r:id="rId54" w:history="1">
        <w:r>
          <w:rPr>
            <w:color w:val="0000FF"/>
          </w:rPr>
          <w:t>Закона</w:t>
        </w:r>
      </w:hyperlink>
      <w:r>
        <w:t xml:space="preserve"> УР от 16.11.2018 N 73-РЗ)</w:t>
      </w:r>
    </w:p>
    <w:p w:rsidR="004363DA" w:rsidRDefault="004363DA">
      <w:pPr>
        <w:pStyle w:val="ConsPlusNormal"/>
        <w:spacing w:before="220"/>
        <w:ind w:firstLine="540"/>
        <w:jc w:val="both"/>
      </w:pPr>
      <w:r>
        <w:t>2.4. В случае если налогоплательщик - физическое лицо имеет право на налоговые льготы по разным основаниям, предусмотренным настоящим Законом, налоговая льгота предоставляется по одному основанию в отношении одного транспортного средства по выбору налогоплательщика.</w:t>
      </w:r>
    </w:p>
    <w:p w:rsidR="004363DA" w:rsidRDefault="004363DA">
      <w:pPr>
        <w:pStyle w:val="ConsPlusNormal"/>
        <w:jc w:val="both"/>
      </w:pPr>
      <w:r>
        <w:t>(</w:t>
      </w:r>
      <w:proofErr w:type="gramStart"/>
      <w:r>
        <w:t>п</w:t>
      </w:r>
      <w:proofErr w:type="gramEnd"/>
      <w:r>
        <w:t xml:space="preserve">. 2.4 введен </w:t>
      </w:r>
      <w:hyperlink r:id="rId55" w:history="1">
        <w:r>
          <w:rPr>
            <w:color w:val="0000FF"/>
          </w:rPr>
          <w:t>Законом</w:t>
        </w:r>
      </w:hyperlink>
      <w:r>
        <w:t xml:space="preserve"> УР от 07.06.2012 N 24-РЗ)</w:t>
      </w:r>
    </w:p>
    <w:p w:rsidR="004363DA" w:rsidRDefault="004363DA">
      <w:pPr>
        <w:pStyle w:val="ConsPlusNormal"/>
        <w:spacing w:before="220"/>
        <w:ind w:firstLine="540"/>
        <w:jc w:val="both"/>
      </w:pPr>
      <w:r>
        <w:t xml:space="preserve">3. </w:t>
      </w:r>
      <w:proofErr w:type="gramStart"/>
      <w:r>
        <w:t>Общественные организации инвалидов, а также иные юридические лица, уставный (складочный) капитал которых полностью состоит из вклада общественных организаций инвалидов, если среднесписочная численность инвалидов среди их работников составляет не менее 50 процентов, освобождаются от уплаты налога с легковых автомобилей, мощность двигателя которых не превышает 100 лошадиных сил, а также с грузовых автомобилей, мощность двигателя которых не превышает 250 лошадиных сил.</w:t>
      </w:r>
      <w:proofErr w:type="gramEnd"/>
    </w:p>
    <w:p w:rsidR="004363DA" w:rsidRDefault="004363DA">
      <w:pPr>
        <w:pStyle w:val="ConsPlusNormal"/>
        <w:spacing w:before="220"/>
        <w:ind w:firstLine="540"/>
        <w:jc w:val="both"/>
      </w:pPr>
      <w:r>
        <w:t xml:space="preserve">Основанием для предоставления льготы являются справка организации со сведениями о среднесписочной численности работников и среднесписочной численности работающих инвалидов, копии приказов о приеме на работу инвалидов, копии справок, подтверждающих факт установления инвалидности, выдаваемых федеральными государственными учреждениями </w:t>
      </w:r>
      <w:proofErr w:type="gramStart"/>
      <w:r>
        <w:t>медико-социальной</w:t>
      </w:r>
      <w:proofErr w:type="gramEnd"/>
      <w:r>
        <w:t xml:space="preserve"> экспертизы.</w:t>
      </w:r>
    </w:p>
    <w:p w:rsidR="004363DA" w:rsidRDefault="004363DA">
      <w:pPr>
        <w:pStyle w:val="ConsPlusNormal"/>
        <w:jc w:val="both"/>
      </w:pPr>
      <w:r>
        <w:t xml:space="preserve">(абзац введен </w:t>
      </w:r>
      <w:hyperlink r:id="rId56" w:history="1">
        <w:r>
          <w:rPr>
            <w:color w:val="0000FF"/>
          </w:rPr>
          <w:t>Законом</w:t>
        </w:r>
      </w:hyperlink>
      <w:r>
        <w:t xml:space="preserve"> УР от 08.07.2015 N 47-РЗ)</w:t>
      </w:r>
    </w:p>
    <w:p w:rsidR="004363DA" w:rsidRDefault="004363DA">
      <w:pPr>
        <w:pStyle w:val="ConsPlusNormal"/>
        <w:spacing w:before="220"/>
        <w:ind w:firstLine="540"/>
        <w:jc w:val="both"/>
      </w:pPr>
      <w:r>
        <w:t xml:space="preserve">4 - 5. Утратили силу с 1 января 2019 года. - </w:t>
      </w:r>
      <w:hyperlink r:id="rId57" w:history="1">
        <w:r>
          <w:rPr>
            <w:color w:val="0000FF"/>
          </w:rPr>
          <w:t>Закон</w:t>
        </w:r>
      </w:hyperlink>
      <w:r>
        <w:t xml:space="preserve"> УР от 29.11.2018 N 74-РЗ.</w:t>
      </w:r>
    </w:p>
    <w:p w:rsidR="004363DA" w:rsidRDefault="004363DA">
      <w:pPr>
        <w:pStyle w:val="ConsPlusNormal"/>
        <w:spacing w:before="220"/>
        <w:ind w:firstLine="540"/>
        <w:jc w:val="both"/>
      </w:pPr>
      <w:r>
        <w:t>5.1. Нештатные аварийно-спасательные формирования государственных и муниципальных учреждений, профессиональные аварийно-спасательные службы и формирования освобождаются от уплаты транспортного налога в отношении транспортных средств, указанных в паспорте поисково-спасательного (аварийно-спасательного) формирования.</w:t>
      </w:r>
    </w:p>
    <w:p w:rsidR="004363DA" w:rsidRDefault="004363DA">
      <w:pPr>
        <w:pStyle w:val="ConsPlusNormal"/>
        <w:spacing w:before="220"/>
        <w:ind w:firstLine="540"/>
        <w:jc w:val="both"/>
      </w:pPr>
      <w:r>
        <w:t xml:space="preserve">Основанием для предоставления льготы являются свидетельство об аттестации на </w:t>
      </w:r>
      <w:proofErr w:type="gramStart"/>
      <w:r>
        <w:t>право ведения</w:t>
      </w:r>
      <w:proofErr w:type="gramEnd"/>
      <w:r>
        <w:t xml:space="preserve"> аварийно-спасательных работ, список транспортных средств, включенных в паспорт поисково-спасательного (аварийно-спасательного) формирования, утвержденный руководителем организации.</w:t>
      </w:r>
    </w:p>
    <w:p w:rsidR="004363DA" w:rsidRDefault="004363DA">
      <w:pPr>
        <w:pStyle w:val="ConsPlusNormal"/>
        <w:jc w:val="both"/>
      </w:pPr>
      <w:r>
        <w:t>(</w:t>
      </w:r>
      <w:proofErr w:type="gramStart"/>
      <w:r>
        <w:t>п</w:t>
      </w:r>
      <w:proofErr w:type="gramEnd"/>
      <w:r>
        <w:t xml:space="preserve">. 5.1 в ред. </w:t>
      </w:r>
      <w:hyperlink r:id="rId58" w:history="1">
        <w:r>
          <w:rPr>
            <w:color w:val="0000FF"/>
          </w:rPr>
          <w:t>Закона</w:t>
        </w:r>
      </w:hyperlink>
      <w:r>
        <w:t xml:space="preserve"> УР от 03.11.2016 N 77-РЗ)</w:t>
      </w:r>
    </w:p>
    <w:p w:rsidR="004363DA" w:rsidRDefault="004363DA">
      <w:pPr>
        <w:pStyle w:val="ConsPlusNormal"/>
        <w:spacing w:before="220"/>
        <w:ind w:firstLine="540"/>
        <w:jc w:val="both"/>
      </w:pPr>
      <w:r>
        <w:t>5.2. Налогоплательщики - физические лица и налогоплательщики - юридические лица освобождаются от уплаты транспортного налога в отношении транспортных средств, являющихся пожарными автомобилями, аварийно-спасательными автомобилями и приспособленными техническими средствами.</w:t>
      </w:r>
    </w:p>
    <w:p w:rsidR="004363DA" w:rsidRDefault="004363DA">
      <w:pPr>
        <w:pStyle w:val="ConsPlusNormal"/>
        <w:jc w:val="both"/>
      </w:pPr>
      <w:r>
        <w:t>(</w:t>
      </w:r>
      <w:proofErr w:type="gramStart"/>
      <w:r>
        <w:t>в</w:t>
      </w:r>
      <w:proofErr w:type="gramEnd"/>
      <w:r>
        <w:t xml:space="preserve"> ред. </w:t>
      </w:r>
      <w:hyperlink r:id="rId59" w:history="1">
        <w:r>
          <w:rPr>
            <w:color w:val="0000FF"/>
          </w:rPr>
          <w:t>Закона</w:t>
        </w:r>
      </w:hyperlink>
      <w:r>
        <w:t xml:space="preserve"> УР от 29.11.2018 N 74-РЗ)</w:t>
      </w:r>
    </w:p>
    <w:p w:rsidR="004363DA" w:rsidRDefault="004363DA">
      <w:pPr>
        <w:pStyle w:val="ConsPlusNormal"/>
        <w:spacing w:before="220"/>
        <w:ind w:firstLine="540"/>
        <w:jc w:val="both"/>
      </w:pPr>
      <w:r>
        <w:t xml:space="preserve">Основанием для предоставления льготы являются </w:t>
      </w:r>
      <w:hyperlink r:id="rId60" w:history="1">
        <w:r>
          <w:rPr>
            <w:color w:val="0000FF"/>
          </w:rPr>
          <w:t>План</w:t>
        </w:r>
      </w:hyperlink>
      <w: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на территории Удмуртской Республики, утвержденный Главой Удмуртской Республики, и список транспортных средств, являющихся пожарными автомобилями, аварийно-спасательными автомобилями и приспособленными техническими средствами.</w:t>
      </w:r>
    </w:p>
    <w:p w:rsidR="004363DA" w:rsidRDefault="004363DA">
      <w:pPr>
        <w:pStyle w:val="ConsPlusNormal"/>
        <w:jc w:val="both"/>
      </w:pPr>
      <w:r>
        <w:t xml:space="preserve">(в ред. Законов УР от 08.07.2015 </w:t>
      </w:r>
      <w:hyperlink r:id="rId61" w:history="1">
        <w:r>
          <w:rPr>
            <w:color w:val="0000FF"/>
          </w:rPr>
          <w:t>N 47-РЗ</w:t>
        </w:r>
      </w:hyperlink>
      <w:r>
        <w:t xml:space="preserve">, от 16.11.2018 </w:t>
      </w:r>
      <w:hyperlink r:id="rId62" w:history="1">
        <w:r>
          <w:rPr>
            <w:color w:val="0000FF"/>
          </w:rPr>
          <w:t>N 73-РЗ</w:t>
        </w:r>
      </w:hyperlink>
      <w:r>
        <w:t>)</w:t>
      </w:r>
    </w:p>
    <w:p w:rsidR="004363DA" w:rsidRDefault="004363DA">
      <w:pPr>
        <w:pStyle w:val="ConsPlusNormal"/>
        <w:spacing w:before="220"/>
        <w:ind w:firstLine="540"/>
        <w:jc w:val="both"/>
      </w:pPr>
      <w:r>
        <w:t xml:space="preserve">5.3 - 5.4. Утратили силу с 1 января 2019 года. - </w:t>
      </w:r>
      <w:hyperlink r:id="rId63" w:history="1">
        <w:r>
          <w:rPr>
            <w:color w:val="0000FF"/>
          </w:rPr>
          <w:t>Закон</w:t>
        </w:r>
      </w:hyperlink>
      <w:r>
        <w:t xml:space="preserve"> УР от 29.11.2018 N 74-РЗ.</w:t>
      </w:r>
    </w:p>
    <w:p w:rsidR="004363DA" w:rsidRDefault="004363DA">
      <w:pPr>
        <w:pStyle w:val="ConsPlusNormal"/>
        <w:spacing w:before="220"/>
        <w:ind w:firstLine="540"/>
        <w:jc w:val="both"/>
      </w:pPr>
      <w:r>
        <w:lastRenderedPageBreak/>
        <w:t xml:space="preserve">5.5. </w:t>
      </w:r>
      <w:proofErr w:type="gramStart"/>
      <w:r>
        <w:t>Резиденты индустриальных (промышленных) парков, которые в установленном порядке включены в региональный реестр резидентов и управляющих компаний индустриальных (промышленных) парков, освобождаются от уплаты транспортного налога в отношении транспортных средств (за исключением автомобилей легковых) с начала налогового периода, в котором резидент включен в региональный реестр резидентов и управляющих компаний индустриальных (промышленных) парков, сроком на 5 лет.</w:t>
      </w:r>
      <w:proofErr w:type="gramEnd"/>
    </w:p>
    <w:p w:rsidR="004363DA" w:rsidRDefault="004363DA">
      <w:pPr>
        <w:pStyle w:val="ConsPlusNormal"/>
        <w:spacing w:before="220"/>
        <w:ind w:firstLine="540"/>
        <w:jc w:val="both"/>
      </w:pPr>
      <w:r>
        <w:t>Основанием для предоставления льготы является список транспортных средств, заверенный резидентом индустриального (промышленного) парка, с приложением документов на данные транспортные средства, подтверждающих право собственности резидента индустриального (промышленного) парка на транспортные средства.</w:t>
      </w:r>
    </w:p>
    <w:p w:rsidR="004363DA" w:rsidRDefault="004363DA">
      <w:pPr>
        <w:pStyle w:val="ConsPlusNormal"/>
        <w:jc w:val="both"/>
      </w:pPr>
      <w:r>
        <w:t xml:space="preserve">(п. 5.5 введен </w:t>
      </w:r>
      <w:hyperlink r:id="rId64" w:history="1">
        <w:r>
          <w:rPr>
            <w:color w:val="0000FF"/>
          </w:rPr>
          <w:t>Законом</w:t>
        </w:r>
      </w:hyperlink>
      <w:r>
        <w:t xml:space="preserve"> УР от 08.07.2019 N 33-РЗ)</w:t>
      </w:r>
    </w:p>
    <w:p w:rsidR="004363DA" w:rsidRDefault="004363DA">
      <w:pPr>
        <w:pStyle w:val="ConsPlusNormal"/>
        <w:spacing w:before="220"/>
        <w:ind w:firstLine="540"/>
        <w:jc w:val="both"/>
      </w:pPr>
      <w:r>
        <w:t xml:space="preserve">6. Налоговые льготы, установленные настоящим Законом, предоставляются в порядке, предусмотренном </w:t>
      </w:r>
      <w:hyperlink r:id="rId65" w:history="1">
        <w:r>
          <w:rPr>
            <w:color w:val="0000FF"/>
          </w:rPr>
          <w:t>пунктом 3 статьи 361.1</w:t>
        </w:r>
      </w:hyperlink>
      <w:r>
        <w:t xml:space="preserve"> Налогового кодекса Российской Федерации.</w:t>
      </w:r>
    </w:p>
    <w:p w:rsidR="004363DA" w:rsidRDefault="004363DA">
      <w:pPr>
        <w:pStyle w:val="ConsPlusNormal"/>
        <w:jc w:val="both"/>
      </w:pPr>
      <w:r>
        <w:t>(</w:t>
      </w:r>
      <w:proofErr w:type="gramStart"/>
      <w:r>
        <w:t>п</w:t>
      </w:r>
      <w:proofErr w:type="gramEnd"/>
      <w:r>
        <w:t xml:space="preserve">. 6 в ред. </w:t>
      </w:r>
      <w:hyperlink r:id="rId66" w:history="1">
        <w:r>
          <w:rPr>
            <w:color w:val="0000FF"/>
          </w:rPr>
          <w:t>Закона</w:t>
        </w:r>
      </w:hyperlink>
      <w:r>
        <w:t xml:space="preserve"> УР от 29.11.2019 N 66-РЗ)</w:t>
      </w:r>
    </w:p>
    <w:p w:rsidR="004363DA" w:rsidRDefault="004363DA">
      <w:pPr>
        <w:pStyle w:val="ConsPlusNormal"/>
        <w:spacing w:before="220"/>
        <w:ind w:firstLine="540"/>
        <w:jc w:val="both"/>
      </w:pPr>
      <w:r>
        <w:t xml:space="preserve">7. Утратил силу с 1 января 2020 года. - </w:t>
      </w:r>
      <w:hyperlink r:id="rId67" w:history="1">
        <w:r>
          <w:rPr>
            <w:color w:val="0000FF"/>
          </w:rPr>
          <w:t>Закон</w:t>
        </w:r>
      </w:hyperlink>
      <w:r>
        <w:t xml:space="preserve"> УР от 29.11.2019 N 66-РЗ.</w:t>
      </w:r>
    </w:p>
    <w:p w:rsidR="004363DA" w:rsidRDefault="004363D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363DA">
        <w:trPr>
          <w:jc w:val="center"/>
        </w:trPr>
        <w:tc>
          <w:tcPr>
            <w:tcW w:w="9294" w:type="dxa"/>
            <w:tcBorders>
              <w:top w:val="nil"/>
              <w:left w:val="single" w:sz="24" w:space="0" w:color="CED3F1"/>
              <w:bottom w:val="nil"/>
              <w:right w:val="single" w:sz="24" w:space="0" w:color="F4F3F8"/>
            </w:tcBorders>
            <w:shd w:val="clear" w:color="auto" w:fill="F4F3F8"/>
          </w:tcPr>
          <w:p w:rsidR="004363DA" w:rsidRDefault="004363DA">
            <w:pPr>
              <w:pStyle w:val="ConsPlusNormal"/>
              <w:jc w:val="both"/>
            </w:pPr>
            <w:r>
              <w:rPr>
                <w:color w:val="392C69"/>
              </w:rPr>
              <w:t xml:space="preserve">В соответствии с </w:t>
            </w:r>
            <w:hyperlink r:id="rId68" w:history="1">
              <w:r>
                <w:rPr>
                  <w:color w:val="0000FF"/>
                </w:rPr>
                <w:t>Законом</w:t>
              </w:r>
            </w:hyperlink>
            <w:r>
              <w:rPr>
                <w:color w:val="392C69"/>
              </w:rPr>
              <w:t xml:space="preserve"> УР от 29.11.2019 N 66-РЗ с 1 января 2021 года статья 4 будет изложена в следующей редакции:</w:t>
            </w:r>
          </w:p>
          <w:p w:rsidR="004363DA" w:rsidRDefault="004363DA">
            <w:pPr>
              <w:pStyle w:val="ConsPlusNormal"/>
              <w:jc w:val="both"/>
            </w:pPr>
            <w:r>
              <w:rPr>
                <w:color w:val="392C69"/>
              </w:rPr>
              <w:t>Статья 4. Порядок уплаты налога юридическими лицами</w:t>
            </w:r>
          </w:p>
          <w:p w:rsidR="004363DA" w:rsidRDefault="004363DA">
            <w:pPr>
              <w:pStyle w:val="ConsPlusNormal"/>
              <w:jc w:val="both"/>
            </w:pPr>
            <w:r>
              <w:rPr>
                <w:color w:val="392C69"/>
              </w:rPr>
              <w:t xml:space="preserve">Налогоплательщики, являющиеся организациями, по окончании каждого отчетного периода уплачивают авансовые платежи по налогу, по итогам налогового периода уплачивают налог в сроки, установленные </w:t>
            </w:r>
            <w:hyperlink r:id="rId69" w:history="1">
              <w:r>
                <w:rPr>
                  <w:color w:val="0000FF"/>
                </w:rPr>
                <w:t>пунктом 1 статьи 363</w:t>
              </w:r>
            </w:hyperlink>
            <w:r>
              <w:rPr>
                <w:color w:val="392C69"/>
              </w:rPr>
              <w:t xml:space="preserve"> Налогового кодекса Российской Федерации.</w:t>
            </w:r>
          </w:p>
        </w:tc>
      </w:tr>
    </w:tbl>
    <w:p w:rsidR="004363DA" w:rsidRDefault="004363DA">
      <w:pPr>
        <w:pStyle w:val="ConsPlusTitle"/>
        <w:spacing w:before="280"/>
        <w:ind w:firstLine="540"/>
        <w:jc w:val="both"/>
        <w:outlineLvl w:val="1"/>
      </w:pPr>
      <w:r>
        <w:t>Статья 4. Порядок и сроки уплаты налога юридическими лицами</w:t>
      </w:r>
    </w:p>
    <w:p w:rsidR="004363DA" w:rsidRDefault="004363DA">
      <w:pPr>
        <w:pStyle w:val="ConsPlusNormal"/>
        <w:ind w:firstLine="540"/>
        <w:jc w:val="both"/>
      </w:pPr>
    </w:p>
    <w:p w:rsidR="004363DA" w:rsidRDefault="004363DA">
      <w:pPr>
        <w:pStyle w:val="ConsPlusNormal"/>
        <w:ind w:firstLine="540"/>
        <w:jc w:val="both"/>
      </w:pPr>
      <w:r>
        <w:t xml:space="preserve">(в ред. </w:t>
      </w:r>
      <w:hyperlink r:id="rId70" w:history="1">
        <w:r>
          <w:rPr>
            <w:color w:val="0000FF"/>
          </w:rPr>
          <w:t>Закона</w:t>
        </w:r>
      </w:hyperlink>
      <w:r>
        <w:t xml:space="preserve"> УР от 28.11.2005 N 59-РЗ)</w:t>
      </w:r>
    </w:p>
    <w:p w:rsidR="004363DA" w:rsidRDefault="004363DA">
      <w:pPr>
        <w:pStyle w:val="ConsPlusNormal"/>
        <w:ind w:firstLine="540"/>
        <w:jc w:val="both"/>
      </w:pPr>
    </w:p>
    <w:p w:rsidR="004363DA" w:rsidRDefault="004363DA">
      <w:pPr>
        <w:pStyle w:val="ConsPlusNormal"/>
        <w:ind w:firstLine="540"/>
        <w:jc w:val="both"/>
      </w:pPr>
      <w:r>
        <w:t>1. Налогоплательщики, являющиеся организациями, уплачивают авансовые платежи по налогу не позднее 10 мая, 10 августа, 10 ноября года налогового периода.</w:t>
      </w:r>
    </w:p>
    <w:p w:rsidR="004363DA" w:rsidRDefault="004363DA">
      <w:pPr>
        <w:pStyle w:val="ConsPlusNormal"/>
        <w:spacing w:before="220"/>
        <w:ind w:firstLine="540"/>
        <w:jc w:val="both"/>
      </w:pPr>
      <w:r>
        <w:t>2. По истечении налогового периода налогоплательщики, являющиеся организациями, уплачивают сумму налога не позднее 10 февраля года, следующего за годом налогового периода.</w:t>
      </w:r>
    </w:p>
    <w:p w:rsidR="004363DA" w:rsidRDefault="004363DA">
      <w:pPr>
        <w:pStyle w:val="ConsPlusNormal"/>
        <w:ind w:firstLine="540"/>
        <w:jc w:val="both"/>
      </w:pPr>
    </w:p>
    <w:p w:rsidR="004363DA" w:rsidRDefault="004363DA">
      <w:pPr>
        <w:pStyle w:val="ConsPlusTitle"/>
        <w:ind w:firstLine="540"/>
        <w:jc w:val="both"/>
        <w:outlineLvl w:val="1"/>
      </w:pPr>
      <w:r>
        <w:t xml:space="preserve">Статья 5. Утратила силу с 1 января 2015 года. - </w:t>
      </w:r>
      <w:hyperlink r:id="rId71" w:history="1">
        <w:r>
          <w:rPr>
            <w:color w:val="0000FF"/>
          </w:rPr>
          <w:t>Закон</w:t>
        </w:r>
      </w:hyperlink>
      <w:r>
        <w:t xml:space="preserve"> УР от 01.10.2014 N 44-РЗ.</w:t>
      </w:r>
    </w:p>
    <w:p w:rsidR="004363DA" w:rsidRDefault="004363DA">
      <w:pPr>
        <w:pStyle w:val="ConsPlusNormal"/>
        <w:ind w:firstLine="540"/>
        <w:jc w:val="both"/>
      </w:pPr>
    </w:p>
    <w:p w:rsidR="004363DA" w:rsidRDefault="004363DA">
      <w:pPr>
        <w:pStyle w:val="ConsPlusTitle"/>
        <w:ind w:firstLine="540"/>
        <w:jc w:val="both"/>
        <w:outlineLvl w:val="1"/>
      </w:pPr>
      <w:r>
        <w:t>Статья 6. Заключительные положения</w:t>
      </w:r>
    </w:p>
    <w:p w:rsidR="004363DA" w:rsidRDefault="004363DA">
      <w:pPr>
        <w:pStyle w:val="ConsPlusNormal"/>
        <w:ind w:firstLine="540"/>
        <w:jc w:val="both"/>
      </w:pPr>
    </w:p>
    <w:p w:rsidR="004363DA" w:rsidRDefault="004363DA">
      <w:pPr>
        <w:pStyle w:val="ConsPlusNormal"/>
        <w:ind w:firstLine="540"/>
        <w:jc w:val="both"/>
      </w:pPr>
      <w:r>
        <w:t>1. Настоящий Закон вступает в силу с 1 января 2003 года, но не ранее одного месяца со дня его опубликования.</w:t>
      </w:r>
    </w:p>
    <w:p w:rsidR="004363DA" w:rsidRDefault="004363DA">
      <w:pPr>
        <w:pStyle w:val="ConsPlusNormal"/>
        <w:spacing w:before="220"/>
        <w:ind w:firstLine="540"/>
        <w:jc w:val="both"/>
      </w:pPr>
      <w:r>
        <w:t>2. Правительству Удмуртской Республики привести свои нормативные правовые акты в соответствие с настоящим Законом.</w:t>
      </w:r>
    </w:p>
    <w:p w:rsidR="004363DA" w:rsidRDefault="004363DA">
      <w:pPr>
        <w:pStyle w:val="ConsPlusNormal"/>
        <w:ind w:firstLine="540"/>
        <w:jc w:val="both"/>
      </w:pPr>
    </w:p>
    <w:p w:rsidR="004363DA" w:rsidRDefault="004363DA">
      <w:pPr>
        <w:pStyle w:val="ConsPlusNormal"/>
        <w:jc w:val="right"/>
      </w:pPr>
      <w:r>
        <w:t>Президент</w:t>
      </w:r>
    </w:p>
    <w:p w:rsidR="004363DA" w:rsidRDefault="004363DA">
      <w:pPr>
        <w:pStyle w:val="ConsPlusNormal"/>
        <w:jc w:val="right"/>
      </w:pPr>
      <w:r>
        <w:t>Удмуртской Республики</w:t>
      </w:r>
    </w:p>
    <w:p w:rsidR="004363DA" w:rsidRDefault="004363DA">
      <w:pPr>
        <w:pStyle w:val="ConsPlusNormal"/>
        <w:jc w:val="right"/>
      </w:pPr>
      <w:r>
        <w:t>А.А.ВОЛКОВ</w:t>
      </w:r>
    </w:p>
    <w:p w:rsidR="004363DA" w:rsidRDefault="004363DA">
      <w:pPr>
        <w:pStyle w:val="ConsPlusNormal"/>
      </w:pPr>
      <w:r>
        <w:t>г. Ижевск</w:t>
      </w:r>
    </w:p>
    <w:p w:rsidR="004363DA" w:rsidRDefault="004363DA">
      <w:pPr>
        <w:pStyle w:val="ConsPlusNormal"/>
        <w:spacing w:before="220"/>
      </w:pPr>
      <w:r>
        <w:t>27 ноября 2002 года</w:t>
      </w:r>
    </w:p>
    <w:p w:rsidR="004363DA" w:rsidRDefault="004363DA">
      <w:pPr>
        <w:pStyle w:val="ConsPlusNormal"/>
        <w:spacing w:before="220"/>
      </w:pPr>
      <w:r>
        <w:t>N 63-РЗ</w:t>
      </w:r>
    </w:p>
    <w:p w:rsidR="004363DA" w:rsidRDefault="004363DA">
      <w:pPr>
        <w:pStyle w:val="ConsPlusNormal"/>
        <w:ind w:firstLine="540"/>
        <w:jc w:val="both"/>
      </w:pPr>
    </w:p>
    <w:p w:rsidR="004363DA" w:rsidRDefault="004363DA">
      <w:pPr>
        <w:pStyle w:val="ConsPlusNormal"/>
        <w:ind w:firstLine="540"/>
        <w:jc w:val="both"/>
      </w:pPr>
    </w:p>
    <w:p w:rsidR="004363DA" w:rsidRDefault="004363DA">
      <w:pPr>
        <w:pStyle w:val="ConsPlusNormal"/>
        <w:ind w:firstLine="540"/>
        <w:jc w:val="both"/>
      </w:pPr>
    </w:p>
    <w:p w:rsidR="004363DA" w:rsidRDefault="004363DA">
      <w:pPr>
        <w:pStyle w:val="ConsPlusNormal"/>
        <w:ind w:firstLine="540"/>
        <w:jc w:val="both"/>
      </w:pPr>
    </w:p>
    <w:p w:rsidR="004363DA" w:rsidRDefault="004363DA">
      <w:pPr>
        <w:pStyle w:val="ConsPlusNormal"/>
        <w:ind w:firstLine="540"/>
        <w:jc w:val="both"/>
      </w:pPr>
    </w:p>
    <w:p w:rsidR="004363DA" w:rsidRDefault="004363DA">
      <w:pPr>
        <w:pStyle w:val="ConsPlusNormal"/>
        <w:jc w:val="right"/>
        <w:outlineLvl w:val="0"/>
      </w:pPr>
      <w:r>
        <w:t>Приложение</w:t>
      </w:r>
    </w:p>
    <w:p w:rsidR="004363DA" w:rsidRDefault="004363DA">
      <w:pPr>
        <w:pStyle w:val="ConsPlusNormal"/>
        <w:jc w:val="right"/>
      </w:pPr>
      <w:r>
        <w:t>к Закону</w:t>
      </w:r>
    </w:p>
    <w:p w:rsidR="004363DA" w:rsidRDefault="004363DA">
      <w:pPr>
        <w:pStyle w:val="ConsPlusNormal"/>
        <w:jc w:val="right"/>
      </w:pPr>
      <w:r>
        <w:t>Удмуртской Республики</w:t>
      </w:r>
    </w:p>
    <w:p w:rsidR="004363DA" w:rsidRDefault="004363DA">
      <w:pPr>
        <w:pStyle w:val="ConsPlusNormal"/>
        <w:jc w:val="right"/>
      </w:pPr>
      <w:r>
        <w:t>от 27 ноября 2002 г. N 63-РЗ</w:t>
      </w:r>
    </w:p>
    <w:p w:rsidR="004363DA" w:rsidRDefault="004363DA">
      <w:pPr>
        <w:pStyle w:val="ConsPlusNormal"/>
        <w:ind w:firstLine="540"/>
        <w:jc w:val="both"/>
      </w:pPr>
    </w:p>
    <w:p w:rsidR="004363DA" w:rsidRDefault="004363DA">
      <w:pPr>
        <w:pStyle w:val="ConsPlusNormal"/>
        <w:jc w:val="center"/>
      </w:pPr>
      <w:r>
        <w:t>Расчет авансовых платежей по транспортному налогу</w:t>
      </w:r>
    </w:p>
    <w:p w:rsidR="004363DA" w:rsidRDefault="004363DA">
      <w:pPr>
        <w:pStyle w:val="ConsPlusNormal"/>
        <w:ind w:firstLine="540"/>
        <w:jc w:val="both"/>
      </w:pPr>
    </w:p>
    <w:p w:rsidR="004363DA" w:rsidRDefault="004363DA">
      <w:pPr>
        <w:pStyle w:val="ConsPlusNormal"/>
        <w:ind w:firstLine="540"/>
        <w:jc w:val="both"/>
      </w:pPr>
      <w:r>
        <w:t xml:space="preserve">Исключен. - </w:t>
      </w:r>
      <w:hyperlink r:id="rId72" w:history="1">
        <w:r>
          <w:rPr>
            <w:color w:val="0000FF"/>
          </w:rPr>
          <w:t>Закон</w:t>
        </w:r>
      </w:hyperlink>
      <w:r>
        <w:t xml:space="preserve"> УР от 30.06.2004 N 28-РЗ.</w:t>
      </w:r>
    </w:p>
    <w:p w:rsidR="004363DA" w:rsidRDefault="004363DA">
      <w:pPr>
        <w:pStyle w:val="ConsPlusNormal"/>
        <w:ind w:firstLine="540"/>
        <w:jc w:val="both"/>
      </w:pPr>
    </w:p>
    <w:p w:rsidR="004363DA" w:rsidRDefault="004363DA">
      <w:pPr>
        <w:pStyle w:val="ConsPlusNormal"/>
        <w:ind w:firstLine="540"/>
        <w:jc w:val="both"/>
      </w:pPr>
    </w:p>
    <w:p w:rsidR="004363DA" w:rsidRDefault="004363DA">
      <w:pPr>
        <w:pStyle w:val="ConsPlusNormal"/>
        <w:ind w:firstLine="540"/>
        <w:jc w:val="both"/>
      </w:pPr>
    </w:p>
    <w:p w:rsidR="004363DA" w:rsidRDefault="004363DA">
      <w:pPr>
        <w:pStyle w:val="ConsPlusNormal"/>
        <w:ind w:firstLine="540"/>
        <w:jc w:val="both"/>
      </w:pPr>
    </w:p>
    <w:p w:rsidR="004363DA" w:rsidRDefault="004363DA">
      <w:pPr>
        <w:pStyle w:val="ConsPlusNormal"/>
        <w:ind w:firstLine="540"/>
        <w:jc w:val="both"/>
      </w:pPr>
    </w:p>
    <w:p w:rsidR="004363DA" w:rsidRDefault="004363DA">
      <w:pPr>
        <w:pStyle w:val="ConsPlusNormal"/>
        <w:jc w:val="right"/>
        <w:outlineLvl w:val="0"/>
      </w:pPr>
      <w:r>
        <w:t>Приложение</w:t>
      </w:r>
    </w:p>
    <w:p w:rsidR="004363DA" w:rsidRDefault="004363DA">
      <w:pPr>
        <w:pStyle w:val="ConsPlusNormal"/>
        <w:jc w:val="right"/>
      </w:pPr>
      <w:r>
        <w:t>к Закону</w:t>
      </w:r>
    </w:p>
    <w:p w:rsidR="004363DA" w:rsidRDefault="004363DA">
      <w:pPr>
        <w:pStyle w:val="ConsPlusNormal"/>
        <w:jc w:val="right"/>
      </w:pPr>
      <w:r>
        <w:t>Удмуртской Республики</w:t>
      </w:r>
    </w:p>
    <w:p w:rsidR="004363DA" w:rsidRDefault="004363DA">
      <w:pPr>
        <w:pStyle w:val="ConsPlusNormal"/>
        <w:jc w:val="right"/>
      </w:pPr>
      <w:r>
        <w:t>"О транспортном налоге</w:t>
      </w:r>
    </w:p>
    <w:p w:rsidR="004363DA" w:rsidRDefault="004363DA">
      <w:pPr>
        <w:pStyle w:val="ConsPlusNormal"/>
        <w:jc w:val="right"/>
      </w:pPr>
      <w:r>
        <w:t>в Удмуртской Республике"</w:t>
      </w:r>
    </w:p>
    <w:p w:rsidR="004363DA" w:rsidRDefault="004363DA">
      <w:pPr>
        <w:pStyle w:val="ConsPlusNormal"/>
        <w:ind w:firstLine="540"/>
        <w:jc w:val="both"/>
      </w:pPr>
    </w:p>
    <w:p w:rsidR="004363DA" w:rsidRDefault="004363DA">
      <w:pPr>
        <w:pStyle w:val="ConsPlusNormal"/>
        <w:jc w:val="center"/>
      </w:pPr>
      <w:r>
        <w:t>Список</w:t>
      </w:r>
    </w:p>
    <w:p w:rsidR="004363DA" w:rsidRDefault="004363DA">
      <w:pPr>
        <w:pStyle w:val="ConsPlusNormal"/>
        <w:jc w:val="center"/>
      </w:pPr>
      <w:r>
        <w:t>транспортных средств, включенных в состав</w:t>
      </w:r>
    </w:p>
    <w:p w:rsidR="004363DA" w:rsidRDefault="004363DA">
      <w:pPr>
        <w:pStyle w:val="ConsPlusNormal"/>
        <w:jc w:val="center"/>
      </w:pPr>
      <w:r>
        <w:t>автомобильной колонны войскового типа</w:t>
      </w:r>
    </w:p>
    <w:p w:rsidR="004363DA" w:rsidRDefault="004363DA">
      <w:pPr>
        <w:pStyle w:val="ConsPlusNormal"/>
        <w:ind w:firstLine="540"/>
        <w:jc w:val="both"/>
      </w:pPr>
    </w:p>
    <w:p w:rsidR="004363DA" w:rsidRDefault="004363DA">
      <w:pPr>
        <w:pStyle w:val="ConsPlusNormal"/>
        <w:ind w:firstLine="540"/>
        <w:jc w:val="both"/>
      </w:pPr>
      <w:r>
        <w:t xml:space="preserve">Утратил силу. - </w:t>
      </w:r>
      <w:hyperlink r:id="rId73" w:history="1">
        <w:r>
          <w:rPr>
            <w:color w:val="0000FF"/>
          </w:rPr>
          <w:t>Закон</w:t>
        </w:r>
      </w:hyperlink>
      <w:r>
        <w:t xml:space="preserve"> УР от 29.11.2018 N 74-РЗ.</w:t>
      </w:r>
    </w:p>
    <w:p w:rsidR="004363DA" w:rsidRDefault="004363DA">
      <w:pPr>
        <w:pStyle w:val="ConsPlusNormal"/>
        <w:ind w:firstLine="540"/>
        <w:jc w:val="both"/>
      </w:pPr>
    </w:p>
    <w:p w:rsidR="004363DA" w:rsidRDefault="004363DA">
      <w:pPr>
        <w:pStyle w:val="ConsPlusNormal"/>
        <w:ind w:firstLine="540"/>
        <w:jc w:val="both"/>
      </w:pPr>
    </w:p>
    <w:p w:rsidR="004363DA" w:rsidRDefault="004363DA">
      <w:pPr>
        <w:pStyle w:val="ConsPlusNormal"/>
        <w:pBdr>
          <w:top w:val="single" w:sz="6" w:space="0" w:color="auto"/>
        </w:pBdr>
        <w:spacing w:before="100" w:after="100"/>
        <w:jc w:val="both"/>
        <w:rPr>
          <w:sz w:val="2"/>
          <w:szCs w:val="2"/>
        </w:rPr>
      </w:pPr>
    </w:p>
    <w:p w:rsidR="0026512D" w:rsidRDefault="004363DA">
      <w:bookmarkStart w:id="1" w:name="_GoBack"/>
      <w:bookmarkEnd w:id="1"/>
    </w:p>
    <w:sectPr w:rsidR="0026512D" w:rsidSect="00526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DA"/>
    <w:rsid w:val="00390049"/>
    <w:rsid w:val="004363DA"/>
    <w:rsid w:val="00742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63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63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63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63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63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63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4C78C2715650F432FCD219E71760C9C46E0C3D4EB95D107AF6227A0BDBB35D9B7B932E35F4C54C3DB54A4676C01C8C93F8E8A38D25FDDE0F3DEJ" TargetMode="External"/><Relationship Id="rId21" Type="http://schemas.openxmlformats.org/officeDocument/2006/relationships/hyperlink" Target="consultantplus://offline/ref=44C78C2715650F432FCD3F93671A529446EE9ED8E993DC57F43321F7E2EB338CF7F934B61C0B50C3D85FF0362F5F919A7CC5873FCB43DDE7203C6B5BF1DDJ" TargetMode="External"/><Relationship Id="rId42" Type="http://schemas.openxmlformats.org/officeDocument/2006/relationships/hyperlink" Target="consultantplus://offline/ref=44C78C2715650F432FCD3F93671A529446EE9ED8E994D952FB3D7CFDEAB23F8EF0F66BA11B425CC2D85FF1332300948F6D9D883AD25DD8FC3C3E69F5D9J" TargetMode="External"/><Relationship Id="rId47" Type="http://schemas.openxmlformats.org/officeDocument/2006/relationships/hyperlink" Target="consultantplus://offline/ref=44C78C2715650F432FCD3F93671A529446EE9ED8ED92DD54F03D7CFDEAB23F8EF0F66BA11B425CC2D85FF03F2300948F6D9D883AD25DD8FC3C3E69F5D9J" TargetMode="External"/><Relationship Id="rId63" Type="http://schemas.openxmlformats.org/officeDocument/2006/relationships/hyperlink" Target="consultantplus://offline/ref=44C78C2715650F432FCD3F93671A529446EE9ED8E993DC57F43321F7E2EB338CF7F934B61C0B50C3D85FF03E285F919A7CC5873FCB43DDE7203C6B5BF1DDJ" TargetMode="External"/><Relationship Id="rId68" Type="http://schemas.openxmlformats.org/officeDocument/2006/relationships/hyperlink" Target="consultantplus://offline/ref=44C78C2715650F432FCD3F93671A529446EE9ED8E992DC52F73F21F7E2EB338CF7F934B61C0B50C3D85FF0372E5F919A7CC5873FCB43DDE7203C6B5BF1DDJ" TargetMode="External"/><Relationship Id="rId2" Type="http://schemas.microsoft.com/office/2007/relationships/stylesWithEffects" Target="stylesWithEffects.xml"/><Relationship Id="rId16" Type="http://schemas.openxmlformats.org/officeDocument/2006/relationships/hyperlink" Target="consultantplus://offline/ref=44C78C2715650F432FCD3F93671A529446EE9ED8EE9BDB54FB3D7CFDEAB23F8EF0F66BA11B425CC2D85FF0312300948F6D9D883AD25DD8FC3C3E69F5D9J" TargetMode="External"/><Relationship Id="rId29" Type="http://schemas.openxmlformats.org/officeDocument/2006/relationships/hyperlink" Target="consultantplus://offline/ref=44C78C2715650F432FCD219E71760C9C46E0C3D4EB95D107AF6227A0BDBB35D9B7B932E05C4C5CC98C0EB4632556C2D53895943FCC5FFDDDJ" TargetMode="External"/><Relationship Id="rId11" Type="http://schemas.openxmlformats.org/officeDocument/2006/relationships/hyperlink" Target="consultantplus://offline/ref=44C78C2715650F432FCD3F93671A529446EE9ED8EA93DF55F73D7CFDEAB23F8EF0F66BA11B425CC2D85FF0312300948F6D9D883AD25DD8FC3C3E69F5D9J" TargetMode="External"/><Relationship Id="rId24" Type="http://schemas.openxmlformats.org/officeDocument/2006/relationships/hyperlink" Target="consultantplus://offline/ref=44C78C2715650F432FCD3F93671A529446EE9ED8E992DC52F73F21F7E2EB338CF7F934B61C0B50C3D85FF0362F5F919A7CC5873FCB43DDE7203C6B5BF1DDJ" TargetMode="External"/><Relationship Id="rId32" Type="http://schemas.openxmlformats.org/officeDocument/2006/relationships/hyperlink" Target="consultantplus://offline/ref=44C78C2715650F432FCD3F93671A529446EE9ED8E992DC52F73F21F7E2EB338CF7F934B61C0B50C3D85FF037285F919A7CC5873FCB43DDE7203C6B5BF1DDJ" TargetMode="External"/><Relationship Id="rId37" Type="http://schemas.openxmlformats.org/officeDocument/2006/relationships/hyperlink" Target="consultantplus://offline/ref=44C78C2715650F432FCD219E71760C9C46E0C1D7EB9BD107AF6227A0BDBB35D9A5B96AEF5D4843C2DD41F2362AF5D4J" TargetMode="External"/><Relationship Id="rId40" Type="http://schemas.openxmlformats.org/officeDocument/2006/relationships/hyperlink" Target="consultantplus://offline/ref=44C78C2715650F432FCD219E71760C9C46E0C1D7EC96D107AF6227A0BDBB35D9A5B96AEF5D4843C2DD41F2362AF5D4J" TargetMode="External"/><Relationship Id="rId45" Type="http://schemas.openxmlformats.org/officeDocument/2006/relationships/hyperlink" Target="consultantplus://offline/ref=44C78C2715650F432FCD3F93671A529446EE9ED8E993DC57F43321F7E2EB338CF7F934B61C0B50C3D85FF031285F919A7CC5873FCB43DDE7203C6B5BF1DDJ" TargetMode="External"/><Relationship Id="rId53" Type="http://schemas.openxmlformats.org/officeDocument/2006/relationships/hyperlink" Target="consultantplus://offline/ref=44C78C2715650F432FCD219E71760C9C46E0C3D4EB95D107AF6227A0BDBB35D9B7B932E35B4C55C3D30BA1727D59C7CC26908F23CE5DDFFED2J" TargetMode="External"/><Relationship Id="rId58" Type="http://schemas.openxmlformats.org/officeDocument/2006/relationships/hyperlink" Target="consultantplus://offline/ref=44C78C2715650F432FCD3F93671A529446EE9ED8E094DB51F63D7CFDEAB23F8EF0F66BA11B425CC2D85FF0312300948F6D9D883AD25DD8FC3C3E69F5D9J" TargetMode="External"/><Relationship Id="rId66" Type="http://schemas.openxmlformats.org/officeDocument/2006/relationships/hyperlink" Target="consultantplus://offline/ref=44C78C2715650F432FCD3F93671A529446EE9ED8E992DC52F73F21F7E2EB338CF7F934B61C0B50C3D85FF0372B5F919A7CC5873FCB43DDE7203C6B5BF1DDJ" TargetMode="External"/><Relationship Id="rId74"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44C78C2715650F432FCD3F93671A529446EE9ED8EF97DF57F33D7CFDEAB23F8EF0F66BA11B425CC2D85FF13F2300948F6D9D883AD25DD8FC3C3E69F5D9J" TargetMode="External"/><Relationship Id="rId19" Type="http://schemas.openxmlformats.org/officeDocument/2006/relationships/hyperlink" Target="consultantplus://offline/ref=44C78C2715650F432FCD3F93671A529446EE9ED8E993DE56F03F21F7E2EB338CF7F934B61C0B50C3D85FF036215F919A7CC5873FCB43DDE7203C6B5BF1DDJ" TargetMode="External"/><Relationship Id="rId14" Type="http://schemas.openxmlformats.org/officeDocument/2006/relationships/hyperlink" Target="consultantplus://offline/ref=44C78C2715650F432FCD3F93671A529446EE9ED8EC93DB58F63D7CFDEAB23F8EF0F66BA11B425CC2D85FF0312300948F6D9D883AD25DD8FC3C3E69F5D9J" TargetMode="External"/><Relationship Id="rId22" Type="http://schemas.openxmlformats.org/officeDocument/2006/relationships/hyperlink" Target="consultantplus://offline/ref=44C78C2715650F432FCD3F93671A529446EE9ED8E992D857FA3721F7E2EB338CF7F934B61C0B50C3D85FF0362F5F919A7CC5873FCB43DDE7203C6B5BF1DDJ" TargetMode="External"/><Relationship Id="rId27" Type="http://schemas.openxmlformats.org/officeDocument/2006/relationships/hyperlink" Target="consultantplus://offline/ref=44C78C2715650F432FCD3F93671A529446EE9ED8E990D255F13D7CFDEAB23F8EF0F66BA11B425CC2D85FF03E2300948F6D9D883AD25DD8FC3C3E69F5D9J" TargetMode="External"/><Relationship Id="rId30" Type="http://schemas.openxmlformats.org/officeDocument/2006/relationships/hyperlink" Target="consultantplus://offline/ref=44C78C2715650F432FCD3F93671A529446EE9ED8EF97DF57F33D7CFDEAB23F8EF0F66BA11B425CC2D85FF03E2300948F6D9D883AD25DD8FC3C3E69F5D9J" TargetMode="External"/><Relationship Id="rId35" Type="http://schemas.openxmlformats.org/officeDocument/2006/relationships/hyperlink" Target="consultantplus://offline/ref=44C78C2715650F432FCD3F93671A529446EE9ED8ED92DD54F03D7CFDEAB23F8EF0F66BA11B425CC2D85FF03E2300948F6D9D883AD25DD8FC3C3E69F5D9J" TargetMode="External"/><Relationship Id="rId43" Type="http://schemas.openxmlformats.org/officeDocument/2006/relationships/hyperlink" Target="consultantplus://offline/ref=44C78C2715650F432FCD3F93671A529446EE9ED8E993DD56F13721F7E2EB338CF7F934B61C0B50C3D85FF036205F919A7CC5873FCB43DDE7203C6B5BF1DDJ" TargetMode="External"/><Relationship Id="rId48" Type="http://schemas.openxmlformats.org/officeDocument/2006/relationships/hyperlink" Target="consultantplus://offline/ref=44C78C2715650F432FCD219E71760C9C46E0C1D7EB94D107AF6227A0BDBB35D9A5B96AEF5D4843C2DD41F2362AF5D4J" TargetMode="External"/><Relationship Id="rId56" Type="http://schemas.openxmlformats.org/officeDocument/2006/relationships/hyperlink" Target="consultantplus://offline/ref=44C78C2715650F432FCD3F93671A529446EE9ED8EF97DF57F33D7CFDEAB23F8EF0F66BA11B425CC2D85FF1372300948F6D9D883AD25DD8FC3C3E69F5D9J" TargetMode="External"/><Relationship Id="rId64" Type="http://schemas.openxmlformats.org/officeDocument/2006/relationships/hyperlink" Target="consultantplus://offline/ref=44C78C2715650F432FCD3F93671A529446EE9ED8E992D857FA3721F7E2EB338CF7F934B61C0B50C3D85FF0362F5F919A7CC5873FCB43DDE7203C6B5BF1DDJ" TargetMode="External"/><Relationship Id="rId69" Type="http://schemas.openxmlformats.org/officeDocument/2006/relationships/hyperlink" Target="consultantplus://offline/ref=44C78C2715650F432FCD219E71760C9C46E0C3D4EB95D107AF6227A0BDBB35D9B7B932EB584A59C98C0EB4632556C2D53895943FCC5FFDDDJ" TargetMode="External"/><Relationship Id="rId8" Type="http://schemas.openxmlformats.org/officeDocument/2006/relationships/hyperlink" Target="consultantplus://offline/ref=44C78C2715650F432FCD3F93671A529446EE9ED8E990D255F13D7CFDEAB23F8EF0F66BA11B425CC2D85FF0312300948F6D9D883AD25DD8FC3C3E69F5D9J" TargetMode="External"/><Relationship Id="rId51" Type="http://schemas.openxmlformats.org/officeDocument/2006/relationships/hyperlink" Target="consultantplus://offline/ref=44C78C2715650F432FCD3F93671A529446EE9ED8E993DD56F13721F7E2EB338CF7F934B61C0B50C3D85FF0372C5F919A7CC5873FCB43DDE7203C6B5BF1DDJ" TargetMode="External"/><Relationship Id="rId72" Type="http://schemas.openxmlformats.org/officeDocument/2006/relationships/hyperlink" Target="consultantplus://offline/ref=44C78C2715650F432FCD3F93671A529446EE9ED8E990D255F13D7CFDEAB23F8EF0F66BA11B425CC2D85FF03F2300948F6D9D883AD25DD8FC3C3E69F5D9J" TargetMode="External"/><Relationship Id="rId3" Type="http://schemas.openxmlformats.org/officeDocument/2006/relationships/settings" Target="settings.xml"/><Relationship Id="rId12" Type="http://schemas.openxmlformats.org/officeDocument/2006/relationships/hyperlink" Target="consultantplus://offline/ref=44C78C2715650F432FCD3F93671A529446EE9ED8EA95DA50F53D7CFDEAB23F8EF0F66BA11B425CC2D85FF0312300948F6D9D883AD25DD8FC3C3E69F5D9J" TargetMode="External"/><Relationship Id="rId17" Type="http://schemas.openxmlformats.org/officeDocument/2006/relationships/hyperlink" Target="consultantplus://offline/ref=44C78C2715650F432FCD3F93671A529446EE9ED8EF97DF57F33D7CFDEAB23F8EF0F66BA11B425CC2D85FF0312300948F6D9D883AD25DD8FC3C3E69F5D9J" TargetMode="External"/><Relationship Id="rId25" Type="http://schemas.openxmlformats.org/officeDocument/2006/relationships/hyperlink" Target="consultantplus://offline/ref=44C78C2715650F432FCD3F93671A529446EE9ED8E992DC52F73F21F7E2EB338CF7F934B61C0B50C3D85FF036205F919A7CC5873FCB43DDE7203C6B5BF1DDJ" TargetMode="External"/><Relationship Id="rId33" Type="http://schemas.openxmlformats.org/officeDocument/2006/relationships/hyperlink" Target="consultantplus://offline/ref=44C78C2715650F432FCD3F93671A529446EE9ED8E992DC52F73F21F7E2EB338CF7F934B61C0B50C3D85FF037295F919A7CC5873FCB43DDE7203C6B5BF1DDJ" TargetMode="External"/><Relationship Id="rId38" Type="http://schemas.openxmlformats.org/officeDocument/2006/relationships/hyperlink" Target="consultantplus://offline/ref=44C78C2715650F432FCD219E71760C9C44EDC1DCEF94D107AF6227A0BDBB35D9B7B932E35F4F5DC2DD54A4676C01C8C93F8E8A38D25FDDE0F3DEJ" TargetMode="External"/><Relationship Id="rId46" Type="http://schemas.openxmlformats.org/officeDocument/2006/relationships/hyperlink" Target="consultantplus://offline/ref=44C78C2715650F432FCD219E71760C9C46E0C1D7EB94D107AF6227A0BDBB35D9A5B96AEF5D4843C2DD41F2362AF5D4J" TargetMode="External"/><Relationship Id="rId59" Type="http://schemas.openxmlformats.org/officeDocument/2006/relationships/hyperlink" Target="consultantplus://offline/ref=44C78C2715650F432FCD3F93671A529446EE9ED8E993DC57F43321F7E2EB338CF7F934B61C0B50C3D85FF031215F919A7CC5873FCB43DDE7203C6B5BF1DDJ" TargetMode="External"/><Relationship Id="rId67" Type="http://schemas.openxmlformats.org/officeDocument/2006/relationships/hyperlink" Target="consultantplus://offline/ref=44C78C2715650F432FCD3F93671A529446EE9ED8E992DC52F73F21F7E2EB338CF7F934B61C0B50C3D85FF0372D5F919A7CC5873FCB43DDE7203C6B5BF1DDJ" TargetMode="External"/><Relationship Id="rId20" Type="http://schemas.openxmlformats.org/officeDocument/2006/relationships/hyperlink" Target="consultantplus://offline/ref=44C78C2715650F432FCD3F93671A529446EE9ED8E993DD56F13721F7E2EB338CF7F934B61C0B50C3D85FF0362F5F919A7CC5873FCB43DDE7203C6B5BF1DDJ" TargetMode="External"/><Relationship Id="rId41" Type="http://schemas.openxmlformats.org/officeDocument/2006/relationships/hyperlink" Target="consultantplus://offline/ref=44C78C2715650F432FCD3F93671A529446EE9ED8E992D953F63D7CFDEAB23F8EF0F66BA11B425CC2D85FF1372300948F6D9D883AD25DD8FC3C3E69F5D9J" TargetMode="External"/><Relationship Id="rId54" Type="http://schemas.openxmlformats.org/officeDocument/2006/relationships/hyperlink" Target="consultantplus://offline/ref=44C78C2715650F432FCD3F93671A529446EE9ED8E993DD56F13721F7E2EB338CF7F934B61C0B50C3D85FF0372E5F919A7CC5873FCB43DDE7203C6B5BF1DDJ" TargetMode="External"/><Relationship Id="rId62" Type="http://schemas.openxmlformats.org/officeDocument/2006/relationships/hyperlink" Target="consultantplus://offline/ref=44C78C2715650F432FCD3F93671A529446EE9ED8E993DD56F13721F7E2EB338CF7F934B61C0B50C3D85FF037205F919A7CC5873FCB43DDE7203C6B5BF1DDJ" TargetMode="External"/><Relationship Id="rId70" Type="http://schemas.openxmlformats.org/officeDocument/2006/relationships/hyperlink" Target="consultantplus://offline/ref=44C78C2715650F432FCD3F93671A529446EE9ED8E994D952FB3D7CFDEAB23F8EF0F66BA11B425CC2D85FF1312300948F6D9D883AD25DD8FC3C3E69F5D9J"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4C78C2715650F432FCD3F93671A529446EE9ED8E992D953F63D7CFDEAB23F8EF0F66BB31B1A50C0DF41F0333656C5C9F3D8J" TargetMode="External"/><Relationship Id="rId15" Type="http://schemas.openxmlformats.org/officeDocument/2006/relationships/hyperlink" Target="consultantplus://offline/ref=44C78C2715650F432FCD3F93671A529446EE9ED8ED92DD54F03D7CFDEAB23F8EF0F66BA11B425CC2D85FF0312300948F6D9D883AD25DD8FC3C3E69F5D9J" TargetMode="External"/><Relationship Id="rId23" Type="http://schemas.openxmlformats.org/officeDocument/2006/relationships/hyperlink" Target="consultantplus://offline/ref=44C78C2715650F432FCD3F93671A529446EE9ED8E992DE58FB3021F7E2EB338CF7F934B61C0B50C3D85FF0362F5F919A7CC5873FCB43DDE7203C6B5BF1DDJ" TargetMode="External"/><Relationship Id="rId28" Type="http://schemas.openxmlformats.org/officeDocument/2006/relationships/hyperlink" Target="consultantplus://offline/ref=44C78C2715650F432FCD219E71760C9C46E0C3D4EB95D107AF6227A0BDBB35D9B7B932E35F4C54C3D154A4676C01C8C93F8E8A38D25FDDE0F3DEJ" TargetMode="External"/><Relationship Id="rId36" Type="http://schemas.openxmlformats.org/officeDocument/2006/relationships/hyperlink" Target="consultantplus://offline/ref=44C78C2715650F432FCD3F93671A529446EE9ED8E994D952FB3D7CFDEAB23F8EF0F66BA11B425CC2D85FF1322300948F6D9D883AD25DD8FC3C3E69F5D9J" TargetMode="External"/><Relationship Id="rId49" Type="http://schemas.openxmlformats.org/officeDocument/2006/relationships/hyperlink" Target="consultantplus://offline/ref=44C78C2715650F432FCD3F93671A529446EE9ED8ED92DD54F03D7CFDEAB23F8EF0F66BA11B425CC2D85FF1372300948F6D9D883AD25DD8FC3C3E69F5D9J" TargetMode="External"/><Relationship Id="rId57" Type="http://schemas.openxmlformats.org/officeDocument/2006/relationships/hyperlink" Target="consultantplus://offline/ref=44C78C2715650F432FCD3F93671A529446EE9ED8E993DC57F43321F7E2EB338CF7F934B61C0B50C3D85FF0312F5F919A7CC5873FCB43DDE7203C6B5BF1DDJ" TargetMode="External"/><Relationship Id="rId10" Type="http://schemas.openxmlformats.org/officeDocument/2006/relationships/hyperlink" Target="consultantplus://offline/ref=44C78C2715650F432FCD3F93671A529446EE9ED8E994D952FB3D7CFDEAB23F8EF0F66BA11B425CC2D85FF0312300948F6D9D883AD25DD8FC3C3E69F5D9J" TargetMode="External"/><Relationship Id="rId31" Type="http://schemas.openxmlformats.org/officeDocument/2006/relationships/hyperlink" Target="consultantplus://offline/ref=44C78C2715650F432FCD3F93671A529446EE9ED8E994D952FB3D7CFDEAB23F8EF0F66BA11B425CC2D85FF1362300948F6D9D883AD25DD8FC3C3E69F5D9J" TargetMode="External"/><Relationship Id="rId44" Type="http://schemas.openxmlformats.org/officeDocument/2006/relationships/hyperlink" Target="consultantplus://offline/ref=44C78C2715650F432FCD219E71760C9C46E0C3D4EB95D107AF6227A0BDBB35D9B7B932E35F4C54C3DE54A4676C01C8C93F8E8A38D25FDDE0F3DEJ" TargetMode="External"/><Relationship Id="rId52" Type="http://schemas.openxmlformats.org/officeDocument/2006/relationships/hyperlink" Target="consultantplus://offline/ref=44C78C2715650F432FCD3F93671A529446EE9ED8E992DE58FB3021F7E2EB338CF7F934B61C0B50C3D85FF0362F5F919A7CC5873FCB43DDE7203C6B5BF1DDJ" TargetMode="External"/><Relationship Id="rId60" Type="http://schemas.openxmlformats.org/officeDocument/2006/relationships/hyperlink" Target="consultantplus://offline/ref=44C78C2715650F432FCD3F93671A529446EE9ED8E090DE57F23D7CFDEAB23F8EF0F66BA11B425CC2D85FF1352300948F6D9D883AD25DD8FC3C3E69F5D9J" TargetMode="External"/><Relationship Id="rId65" Type="http://schemas.openxmlformats.org/officeDocument/2006/relationships/hyperlink" Target="consultantplus://offline/ref=44C78C2715650F432FCD219E71760C9C46E0C3D4EB95D107AF6227A0BDBB35D9B7B932E358475EC0D30BA1727D59C7CC26908F23CE5DDFFED2J" TargetMode="External"/><Relationship Id="rId73" Type="http://schemas.openxmlformats.org/officeDocument/2006/relationships/hyperlink" Target="consultantplus://offline/ref=44C78C2715650F432FCD3F93671A529446EE9ED8E993DC57F43321F7E2EB338CF7F934B61C0B50C3D85FF03E2A5F919A7CC5873FCB43DDE7203C6B5BF1DDJ" TargetMode="External"/><Relationship Id="rId4" Type="http://schemas.openxmlformats.org/officeDocument/2006/relationships/webSettings" Target="webSettings.xml"/><Relationship Id="rId9" Type="http://schemas.openxmlformats.org/officeDocument/2006/relationships/hyperlink" Target="consultantplus://offline/ref=44C78C2715650F432FCD3F93671A529446EE9ED8E997D353F03D7CFDEAB23F8EF0F66BA11B425CC2D85FF0312300948F6D9D883AD25DD8FC3C3E69F5D9J" TargetMode="External"/><Relationship Id="rId13" Type="http://schemas.openxmlformats.org/officeDocument/2006/relationships/hyperlink" Target="consultantplus://offline/ref=44C78C2715650F432FCD3F93671A529446EE9ED8EB90D958F33D7CFDEAB23F8EF0F66BA11B425CC2D85FF0312300948F6D9D883AD25DD8FC3C3E69F5D9J" TargetMode="External"/><Relationship Id="rId18" Type="http://schemas.openxmlformats.org/officeDocument/2006/relationships/hyperlink" Target="consultantplus://offline/ref=44C78C2715650F432FCD3F93671A529446EE9ED8E094DB51F63D7CFDEAB23F8EF0F66BA11B425CC2D85FF0312300948F6D9D883AD25DD8FC3C3E69F5D9J" TargetMode="External"/><Relationship Id="rId39" Type="http://schemas.openxmlformats.org/officeDocument/2006/relationships/hyperlink" Target="consultantplus://offline/ref=44C78C2715650F432FCD219E71760C9C46E0C1D7EE93D107AF6227A0BDBB35D9B7B932E35F4F5DC2D054A4676C01C8C93F8E8A38D25FDDE0F3DEJ" TargetMode="External"/><Relationship Id="rId34" Type="http://schemas.openxmlformats.org/officeDocument/2006/relationships/hyperlink" Target="consultantplus://offline/ref=44C78C2715650F432FCD3F93671A529446EE9ED8E993DC57F43321F7E2EB338CF7F934B61C0B50C3D85FF036205F919A7CC5873FCB43DDE7203C6B5BF1DDJ" TargetMode="External"/><Relationship Id="rId50" Type="http://schemas.openxmlformats.org/officeDocument/2006/relationships/hyperlink" Target="consultantplus://offline/ref=44C78C2715650F432FCD3F93671A529446EE9ED8E993DC57F43321F7E2EB338CF7F934B61C0B50C3D85FF0312E5F919A7CC5873FCB43DDE7203C6B5BF1DDJ" TargetMode="External"/><Relationship Id="rId55" Type="http://schemas.openxmlformats.org/officeDocument/2006/relationships/hyperlink" Target="consultantplus://offline/ref=44C78C2715650F432FCD3F93671A529446EE9ED8ED92DD54F03D7CFDEAB23F8EF0F66BA11B425CC2D85FF1352300948F6D9D883AD25DD8FC3C3E69F5D9J" TargetMode="External"/><Relationship Id="rId7" Type="http://schemas.openxmlformats.org/officeDocument/2006/relationships/hyperlink" Target="consultantplus://offline/ref=44C78C2715650F432FCD3F93671A529446EE9ED8E991DA51F23D7CFDEAB23F8EF0F66BB31B1A50C0DF41F0333656C5C9F3D8J" TargetMode="External"/><Relationship Id="rId71" Type="http://schemas.openxmlformats.org/officeDocument/2006/relationships/hyperlink" Target="consultantplus://offline/ref=44C78C2715650F432FCD3F93671A529446EE9ED8EE9BDB54FB3D7CFDEAB23F8EF0F66BA11B425CC2D85FF0312300948F6D9D883AD25DD8FC3C3E69F5D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3829</Words>
  <Characters>21829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Алексеева</dc:creator>
  <cp:lastModifiedBy>Татьяна Алексеева</cp:lastModifiedBy>
  <cp:revision>1</cp:revision>
  <dcterms:created xsi:type="dcterms:W3CDTF">2020-05-27T09:03:00Z</dcterms:created>
  <dcterms:modified xsi:type="dcterms:W3CDTF">2020-05-27T09:03:00Z</dcterms:modified>
</cp:coreProperties>
</file>