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F6" w:rsidRPr="00EA7EB4" w:rsidRDefault="00C22AF6" w:rsidP="00C22AF6">
      <w:pPr>
        <w:ind w:firstLine="709"/>
        <w:jc w:val="right"/>
        <w:rPr>
          <w:szCs w:val="28"/>
        </w:rPr>
      </w:pPr>
      <w:r w:rsidRPr="00EA7EB4">
        <w:rPr>
          <w:rFonts w:cs="Calibri"/>
          <w:sz w:val="28"/>
          <w:szCs w:val="28"/>
        </w:rPr>
        <w:t>Проект</w:t>
      </w:r>
    </w:p>
    <w:p w:rsidR="00E90DC4" w:rsidRPr="00EA7EB4" w:rsidRDefault="00E90DC4" w:rsidP="00E90DC4">
      <w:pPr>
        <w:pStyle w:val="1"/>
        <w:rPr>
          <w:b w:val="0"/>
          <w:szCs w:val="28"/>
        </w:rPr>
      </w:pPr>
      <w:r w:rsidRPr="00EA7EB4">
        <w:rPr>
          <w:b w:val="0"/>
          <w:szCs w:val="28"/>
        </w:rPr>
        <w:t>Правительство Удмуртской Республики</w:t>
      </w:r>
    </w:p>
    <w:p w:rsidR="00E90DC4" w:rsidRPr="00EA7EB4" w:rsidRDefault="00E90DC4" w:rsidP="00E90DC4">
      <w:pPr>
        <w:rPr>
          <w:sz w:val="28"/>
          <w:szCs w:val="28"/>
        </w:rPr>
      </w:pPr>
    </w:p>
    <w:p w:rsidR="00E90DC4" w:rsidRPr="00EA7EB4" w:rsidRDefault="00E90DC4" w:rsidP="00E90DC4">
      <w:pPr>
        <w:pStyle w:val="5"/>
        <w:rPr>
          <w:szCs w:val="28"/>
        </w:rPr>
      </w:pPr>
      <w:r w:rsidRPr="00EA7EB4">
        <w:rPr>
          <w:szCs w:val="28"/>
        </w:rPr>
        <w:t>ПОСТАНОВЛЕНИЕ</w:t>
      </w:r>
    </w:p>
    <w:p w:rsidR="00E90DC4" w:rsidRPr="00EA7EB4" w:rsidRDefault="00E90DC4" w:rsidP="00E90DC4">
      <w:pPr>
        <w:jc w:val="both"/>
        <w:rPr>
          <w:sz w:val="28"/>
          <w:szCs w:val="28"/>
        </w:rPr>
      </w:pPr>
    </w:p>
    <w:p w:rsidR="00E90DC4" w:rsidRPr="00EA7EB4" w:rsidRDefault="003F4560" w:rsidP="00302698">
      <w:pPr>
        <w:jc w:val="center"/>
        <w:rPr>
          <w:sz w:val="28"/>
          <w:szCs w:val="28"/>
        </w:rPr>
      </w:pPr>
      <w:r w:rsidRPr="00EA7EB4">
        <w:rPr>
          <w:sz w:val="28"/>
          <w:szCs w:val="28"/>
        </w:rPr>
        <w:t>о</w:t>
      </w:r>
      <w:r w:rsidR="00E90DC4" w:rsidRPr="00EA7EB4">
        <w:rPr>
          <w:sz w:val="28"/>
          <w:szCs w:val="28"/>
        </w:rPr>
        <w:t>т</w:t>
      </w:r>
      <w:r w:rsidRPr="00EA7EB4">
        <w:rPr>
          <w:sz w:val="28"/>
          <w:szCs w:val="28"/>
        </w:rPr>
        <w:t xml:space="preserve"> </w:t>
      </w:r>
      <w:r w:rsidR="005B0BBD" w:rsidRPr="00EA7EB4">
        <w:rPr>
          <w:sz w:val="28"/>
          <w:szCs w:val="28"/>
        </w:rPr>
        <w:t>«</w:t>
      </w:r>
      <w:r w:rsidR="00720547" w:rsidRPr="00EA7EB4">
        <w:rPr>
          <w:sz w:val="28"/>
          <w:szCs w:val="28"/>
        </w:rPr>
        <w:t>___</w:t>
      </w:r>
      <w:r w:rsidR="005B0BBD" w:rsidRPr="00EA7EB4">
        <w:rPr>
          <w:sz w:val="28"/>
          <w:szCs w:val="28"/>
        </w:rPr>
        <w:t>»</w:t>
      </w:r>
      <w:r w:rsidR="00A027F3" w:rsidRPr="00EA7EB4">
        <w:rPr>
          <w:sz w:val="28"/>
          <w:szCs w:val="28"/>
        </w:rPr>
        <w:t xml:space="preserve"> </w:t>
      </w:r>
      <w:r w:rsidR="00720547" w:rsidRPr="00EA7EB4">
        <w:rPr>
          <w:sz w:val="28"/>
          <w:szCs w:val="28"/>
        </w:rPr>
        <w:t>__________</w:t>
      </w:r>
      <w:r w:rsidR="00A027F3" w:rsidRPr="00EA7EB4">
        <w:rPr>
          <w:sz w:val="28"/>
          <w:szCs w:val="28"/>
        </w:rPr>
        <w:t xml:space="preserve"> </w:t>
      </w:r>
      <w:r w:rsidR="00E90DC4" w:rsidRPr="00EA7EB4">
        <w:rPr>
          <w:sz w:val="28"/>
          <w:szCs w:val="28"/>
        </w:rPr>
        <w:t>20</w:t>
      </w:r>
      <w:r w:rsidR="002576DA" w:rsidRPr="00EA7EB4">
        <w:rPr>
          <w:sz w:val="28"/>
          <w:szCs w:val="28"/>
        </w:rPr>
        <w:t>1</w:t>
      </w:r>
      <w:r w:rsidR="00720547" w:rsidRPr="00EA7EB4">
        <w:rPr>
          <w:sz w:val="28"/>
          <w:szCs w:val="28"/>
        </w:rPr>
        <w:t>4</w:t>
      </w:r>
      <w:r w:rsidR="00E90DC4" w:rsidRPr="00EA7EB4">
        <w:rPr>
          <w:sz w:val="28"/>
          <w:szCs w:val="28"/>
        </w:rPr>
        <w:t xml:space="preserve"> г</w:t>
      </w:r>
      <w:r w:rsidR="00F72620" w:rsidRPr="00EA7EB4">
        <w:rPr>
          <w:sz w:val="28"/>
          <w:szCs w:val="28"/>
        </w:rPr>
        <w:t>ода</w:t>
      </w:r>
      <w:r w:rsidR="00F72620" w:rsidRPr="00EA7EB4">
        <w:rPr>
          <w:sz w:val="28"/>
          <w:szCs w:val="28"/>
        </w:rPr>
        <w:tab/>
      </w:r>
      <w:r w:rsidR="00F72620" w:rsidRPr="00EA7EB4">
        <w:rPr>
          <w:sz w:val="28"/>
          <w:szCs w:val="28"/>
        </w:rPr>
        <w:tab/>
      </w:r>
      <w:r w:rsidR="00F72620" w:rsidRPr="00EA7EB4">
        <w:rPr>
          <w:sz w:val="28"/>
          <w:szCs w:val="28"/>
        </w:rPr>
        <w:tab/>
      </w:r>
      <w:r w:rsidR="00F72620" w:rsidRPr="00EA7EB4">
        <w:rPr>
          <w:sz w:val="28"/>
          <w:szCs w:val="28"/>
        </w:rPr>
        <w:tab/>
      </w:r>
      <w:r w:rsidR="00F72620" w:rsidRPr="00EA7EB4">
        <w:rPr>
          <w:sz w:val="28"/>
          <w:szCs w:val="28"/>
        </w:rPr>
        <w:tab/>
      </w:r>
      <w:r w:rsidR="00F72620" w:rsidRPr="00EA7EB4">
        <w:rPr>
          <w:sz w:val="28"/>
          <w:szCs w:val="28"/>
        </w:rPr>
        <w:tab/>
      </w:r>
      <w:r w:rsidR="00E90DC4" w:rsidRPr="00EA7EB4">
        <w:rPr>
          <w:sz w:val="28"/>
          <w:szCs w:val="28"/>
        </w:rPr>
        <w:t xml:space="preserve">№ </w:t>
      </w:r>
      <w:r w:rsidR="00720547" w:rsidRPr="00EA7EB4">
        <w:rPr>
          <w:sz w:val="28"/>
          <w:szCs w:val="28"/>
        </w:rPr>
        <w:t>____</w:t>
      </w:r>
    </w:p>
    <w:p w:rsidR="00E90DC4" w:rsidRPr="00EA7EB4" w:rsidRDefault="00E90DC4" w:rsidP="00E90DC4">
      <w:pPr>
        <w:jc w:val="center"/>
        <w:rPr>
          <w:sz w:val="28"/>
          <w:szCs w:val="28"/>
        </w:rPr>
      </w:pPr>
      <w:r w:rsidRPr="00EA7EB4">
        <w:rPr>
          <w:sz w:val="28"/>
          <w:szCs w:val="28"/>
        </w:rPr>
        <w:t>г. Ижевск</w:t>
      </w:r>
    </w:p>
    <w:p w:rsidR="00E90DC4" w:rsidRPr="00EA7EB4" w:rsidRDefault="00E90DC4" w:rsidP="00E90DC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</w:tblGrid>
      <w:tr w:rsidR="00E90DC4" w:rsidRPr="00EA7EB4" w:rsidTr="00302698">
        <w:tc>
          <w:tcPr>
            <w:tcW w:w="4786" w:type="dxa"/>
          </w:tcPr>
          <w:p w:rsidR="00E90DC4" w:rsidRPr="00EA7EB4" w:rsidRDefault="002576DA" w:rsidP="00B972F8">
            <w:pPr>
              <w:jc w:val="both"/>
              <w:rPr>
                <w:sz w:val="28"/>
                <w:szCs w:val="28"/>
              </w:rPr>
            </w:pPr>
            <w:r w:rsidRPr="00EA7EB4">
              <w:rPr>
                <w:bCs/>
                <w:color w:val="000000"/>
                <w:spacing w:val="2"/>
                <w:sz w:val="28"/>
                <w:szCs w:val="28"/>
              </w:rPr>
              <w:t>О внесении изменени</w:t>
            </w:r>
            <w:r w:rsidR="00577D4D" w:rsidRPr="00EA7EB4">
              <w:rPr>
                <w:bCs/>
                <w:color w:val="000000"/>
                <w:spacing w:val="2"/>
                <w:sz w:val="28"/>
                <w:szCs w:val="28"/>
              </w:rPr>
              <w:t>й</w:t>
            </w:r>
            <w:r w:rsidRPr="00EA7EB4">
              <w:rPr>
                <w:bCs/>
                <w:color w:val="000000"/>
                <w:spacing w:val="2"/>
                <w:sz w:val="28"/>
                <w:szCs w:val="28"/>
              </w:rPr>
              <w:t xml:space="preserve"> в </w:t>
            </w:r>
            <w:r w:rsidR="00B972F8" w:rsidRPr="00EA7EB4">
              <w:rPr>
                <w:bCs/>
                <w:color w:val="000000"/>
                <w:spacing w:val="2"/>
                <w:sz w:val="28"/>
                <w:szCs w:val="28"/>
              </w:rPr>
              <w:t>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</w:tc>
      </w:tr>
    </w:tbl>
    <w:p w:rsidR="003C7D8F" w:rsidRPr="00EA7EB4" w:rsidRDefault="003C7D8F" w:rsidP="00E90DC4">
      <w:pPr>
        <w:shd w:val="clear" w:color="auto" w:fill="FFFFFF"/>
        <w:tabs>
          <w:tab w:val="left" w:pos="709"/>
        </w:tabs>
        <w:spacing w:before="5"/>
        <w:ind w:left="19" w:firstLine="690"/>
        <w:jc w:val="both"/>
        <w:rPr>
          <w:color w:val="000000"/>
          <w:spacing w:val="1"/>
          <w:sz w:val="28"/>
          <w:szCs w:val="28"/>
        </w:rPr>
      </w:pPr>
    </w:p>
    <w:p w:rsidR="00FB09AB" w:rsidRPr="00EA7EB4" w:rsidRDefault="00FB09AB" w:rsidP="000C5785">
      <w:pPr>
        <w:ind w:firstLine="709"/>
        <w:jc w:val="both"/>
        <w:rPr>
          <w:sz w:val="28"/>
          <w:szCs w:val="28"/>
        </w:rPr>
      </w:pPr>
      <w:r w:rsidRPr="00EA7EB4">
        <w:rPr>
          <w:sz w:val="28"/>
          <w:szCs w:val="28"/>
        </w:rPr>
        <w:t>Правительство Удмуртской Республики постановляет:</w:t>
      </w:r>
    </w:p>
    <w:p w:rsidR="00AA12FE" w:rsidRPr="00EA7EB4" w:rsidRDefault="00811D70" w:rsidP="000C5785">
      <w:pPr>
        <w:ind w:firstLine="709"/>
        <w:jc w:val="both"/>
        <w:rPr>
          <w:rFonts w:cs="Calibri"/>
          <w:sz w:val="28"/>
          <w:szCs w:val="28"/>
        </w:rPr>
      </w:pPr>
      <w:r w:rsidRPr="00EA7EB4">
        <w:rPr>
          <w:sz w:val="28"/>
          <w:szCs w:val="28"/>
        </w:rPr>
        <w:t xml:space="preserve">Внести в </w:t>
      </w:r>
      <w:r w:rsidR="00FD63CB" w:rsidRPr="00EA7EB4">
        <w:rPr>
          <w:bCs/>
          <w:color w:val="000000"/>
          <w:spacing w:val="2"/>
          <w:sz w:val="28"/>
          <w:szCs w:val="28"/>
        </w:rPr>
        <w:t xml:space="preserve">государственную программу Удмуртской Республики «Развитие промышленности и повышение её конкурентоспособности», утверждённую </w:t>
      </w:r>
      <w:r w:rsidRPr="00EA7EB4">
        <w:rPr>
          <w:bCs/>
          <w:color w:val="000000"/>
          <w:spacing w:val="2"/>
          <w:sz w:val="28"/>
          <w:szCs w:val="28"/>
        </w:rPr>
        <w:t>постановление</w:t>
      </w:r>
      <w:r w:rsidR="00FD63CB" w:rsidRPr="00EA7EB4">
        <w:rPr>
          <w:bCs/>
          <w:color w:val="000000"/>
          <w:spacing w:val="2"/>
          <w:sz w:val="28"/>
          <w:szCs w:val="28"/>
        </w:rPr>
        <w:t>м</w:t>
      </w:r>
      <w:r w:rsidRPr="00EA7EB4">
        <w:rPr>
          <w:bCs/>
          <w:color w:val="000000"/>
          <w:spacing w:val="2"/>
          <w:sz w:val="28"/>
          <w:szCs w:val="28"/>
        </w:rPr>
        <w:t xml:space="preserve"> Правительства Удмуртской Республики от 2</w:t>
      </w:r>
      <w:r w:rsidR="00FD63CB" w:rsidRPr="00EA7EB4">
        <w:rPr>
          <w:bCs/>
          <w:color w:val="000000"/>
          <w:spacing w:val="2"/>
          <w:sz w:val="28"/>
          <w:szCs w:val="28"/>
        </w:rPr>
        <w:t>0</w:t>
      </w:r>
      <w:r w:rsidRPr="00EA7EB4">
        <w:rPr>
          <w:bCs/>
          <w:color w:val="000000"/>
          <w:spacing w:val="2"/>
          <w:sz w:val="28"/>
          <w:szCs w:val="28"/>
        </w:rPr>
        <w:t xml:space="preserve"> </w:t>
      </w:r>
      <w:r w:rsidR="00FD63CB" w:rsidRPr="00EA7EB4">
        <w:rPr>
          <w:bCs/>
          <w:color w:val="000000"/>
          <w:spacing w:val="2"/>
          <w:sz w:val="28"/>
          <w:szCs w:val="28"/>
        </w:rPr>
        <w:t>мая</w:t>
      </w:r>
      <w:r w:rsidRPr="00EA7EB4">
        <w:rPr>
          <w:bCs/>
          <w:color w:val="000000"/>
          <w:spacing w:val="2"/>
          <w:sz w:val="28"/>
          <w:szCs w:val="28"/>
        </w:rPr>
        <w:t xml:space="preserve"> 201</w:t>
      </w:r>
      <w:r w:rsidR="00FD63CB" w:rsidRPr="00EA7EB4">
        <w:rPr>
          <w:bCs/>
          <w:color w:val="000000"/>
          <w:spacing w:val="2"/>
          <w:sz w:val="28"/>
          <w:szCs w:val="28"/>
        </w:rPr>
        <w:t>3</w:t>
      </w:r>
      <w:r w:rsidRPr="00EA7EB4">
        <w:rPr>
          <w:bCs/>
          <w:color w:val="000000"/>
          <w:spacing w:val="2"/>
          <w:sz w:val="28"/>
          <w:szCs w:val="28"/>
        </w:rPr>
        <w:t xml:space="preserve"> года № </w:t>
      </w:r>
      <w:r w:rsidR="00FD63CB" w:rsidRPr="00EA7EB4">
        <w:rPr>
          <w:bCs/>
          <w:color w:val="000000"/>
          <w:spacing w:val="2"/>
          <w:sz w:val="28"/>
          <w:szCs w:val="28"/>
        </w:rPr>
        <w:t>201</w:t>
      </w:r>
      <w:r w:rsidRPr="00EA7EB4">
        <w:rPr>
          <w:bCs/>
          <w:color w:val="000000"/>
          <w:spacing w:val="2"/>
          <w:sz w:val="28"/>
          <w:szCs w:val="28"/>
        </w:rPr>
        <w:t xml:space="preserve"> «Об утверждении </w:t>
      </w:r>
      <w:r w:rsidR="00F41C13" w:rsidRPr="00EA7EB4">
        <w:rPr>
          <w:bCs/>
          <w:color w:val="000000"/>
          <w:spacing w:val="2"/>
          <w:sz w:val="28"/>
          <w:szCs w:val="28"/>
        </w:rPr>
        <w:t>государственной программы Удмуртской Республики «Развитие промышленности и повышение её конкурентоспособности»</w:t>
      </w:r>
      <w:r w:rsidRPr="00EA7EB4">
        <w:rPr>
          <w:rFonts w:cs="Calibri"/>
          <w:sz w:val="28"/>
          <w:szCs w:val="28"/>
        </w:rPr>
        <w:t xml:space="preserve"> </w:t>
      </w:r>
      <w:r w:rsidR="00AA12FE" w:rsidRPr="00EA7EB4">
        <w:rPr>
          <w:rFonts w:cs="Calibri"/>
          <w:sz w:val="28"/>
          <w:szCs w:val="28"/>
        </w:rPr>
        <w:t xml:space="preserve">следующие </w:t>
      </w:r>
      <w:r w:rsidRPr="00EA7EB4">
        <w:rPr>
          <w:rFonts w:cs="Calibri"/>
          <w:sz w:val="28"/>
          <w:szCs w:val="28"/>
        </w:rPr>
        <w:t>изменени</w:t>
      </w:r>
      <w:r w:rsidR="00AA12FE" w:rsidRPr="00EA7EB4">
        <w:rPr>
          <w:rFonts w:cs="Calibri"/>
          <w:sz w:val="28"/>
          <w:szCs w:val="28"/>
        </w:rPr>
        <w:t>я:</w:t>
      </w:r>
    </w:p>
    <w:p w:rsidR="00811D70" w:rsidRPr="00EA7EB4" w:rsidRDefault="00AA12FE" w:rsidP="000C5785">
      <w:pPr>
        <w:ind w:firstLine="709"/>
        <w:jc w:val="both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>1) в</w:t>
      </w:r>
      <w:r w:rsidR="007038E8" w:rsidRPr="00EA7EB4">
        <w:rPr>
          <w:rFonts w:cs="Calibri"/>
          <w:sz w:val="28"/>
          <w:szCs w:val="28"/>
        </w:rPr>
        <w:t xml:space="preserve"> </w:t>
      </w:r>
      <w:r w:rsidR="00FD0950" w:rsidRPr="00EA7EB4">
        <w:rPr>
          <w:rFonts w:cs="Calibri"/>
          <w:sz w:val="28"/>
          <w:szCs w:val="28"/>
        </w:rPr>
        <w:t>строке «Задачи государственной программы» Паспорта государственной программы слова «обеспечение роста занятости инвалидов» заменить словами «обеспечение сохранения и роста занятости инвалидов»</w:t>
      </w:r>
      <w:r w:rsidRPr="00EA7EB4">
        <w:rPr>
          <w:rFonts w:cs="Calibri"/>
          <w:sz w:val="28"/>
          <w:szCs w:val="28"/>
        </w:rPr>
        <w:t>;</w:t>
      </w:r>
    </w:p>
    <w:p w:rsidR="00A01398" w:rsidRPr="00EA7EB4" w:rsidRDefault="00AA12FE" w:rsidP="005C678F">
      <w:pPr>
        <w:ind w:firstLine="709"/>
        <w:jc w:val="both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>2) </w:t>
      </w:r>
      <w:r w:rsidR="00B11B6F" w:rsidRPr="00EA7EB4">
        <w:rPr>
          <w:rFonts w:cs="Calibri"/>
          <w:sz w:val="28"/>
          <w:szCs w:val="28"/>
        </w:rPr>
        <w:t xml:space="preserve">в </w:t>
      </w:r>
      <w:r w:rsidR="00A01398" w:rsidRPr="00EA7EB4">
        <w:rPr>
          <w:rFonts w:cs="Calibri"/>
          <w:sz w:val="28"/>
          <w:szCs w:val="28"/>
        </w:rPr>
        <w:t>разделе 1 «Приоритеты государственной политики</w:t>
      </w:r>
      <w:r w:rsidR="00A977E7" w:rsidRPr="00EA7EB4">
        <w:rPr>
          <w:rFonts w:cs="Calibri"/>
          <w:sz w:val="28"/>
          <w:szCs w:val="28"/>
        </w:rPr>
        <w:t>, цели, задачи в сфере социально-экономического развития, в рамках которой реализуется государственная программа</w:t>
      </w:r>
      <w:r w:rsidR="00A01398" w:rsidRPr="00EA7EB4">
        <w:rPr>
          <w:rFonts w:cs="Calibri"/>
          <w:sz w:val="28"/>
          <w:szCs w:val="28"/>
        </w:rPr>
        <w:t>»</w:t>
      </w:r>
      <w:r w:rsidR="0078738A">
        <w:rPr>
          <w:rFonts w:cs="Calibri"/>
          <w:sz w:val="28"/>
          <w:szCs w:val="28"/>
        </w:rPr>
        <w:t xml:space="preserve"> по тексту </w:t>
      </w:r>
      <w:r w:rsidR="0078738A" w:rsidRPr="00EA7EB4">
        <w:rPr>
          <w:rFonts w:cs="Calibri"/>
          <w:sz w:val="28"/>
          <w:szCs w:val="28"/>
        </w:rPr>
        <w:t>слова «обеспечение роста занятости инвалидов» заменить словами «обеспечение сохранения и роста занятости инвалидов»</w:t>
      </w:r>
      <w:r w:rsidR="0078738A">
        <w:rPr>
          <w:rFonts w:cs="Calibri"/>
          <w:sz w:val="28"/>
          <w:szCs w:val="28"/>
        </w:rPr>
        <w:t>;</w:t>
      </w:r>
    </w:p>
    <w:p w:rsidR="00020555" w:rsidRPr="00EA7EB4" w:rsidRDefault="00020555" w:rsidP="00020555">
      <w:pPr>
        <w:ind w:firstLine="709"/>
        <w:jc w:val="both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 xml:space="preserve">3) в </w:t>
      </w:r>
      <w:r w:rsidR="00546424" w:rsidRPr="00EA7EB4">
        <w:rPr>
          <w:rFonts w:cs="Calibri"/>
          <w:sz w:val="28"/>
          <w:szCs w:val="28"/>
        </w:rPr>
        <w:t xml:space="preserve">подразделе </w:t>
      </w:r>
      <w:r w:rsidR="00C376DB" w:rsidRPr="00EA7EB4">
        <w:rPr>
          <w:rFonts w:cs="Calibri"/>
          <w:sz w:val="28"/>
          <w:szCs w:val="28"/>
        </w:rPr>
        <w:t>2.2 «Подпрограмма «Сохранение и создание рабочих мест для инвалидов в организациях Общероссийской общественной организации инвалидов «Всероссийское ордена Трудового Красного Знамени общество слепых», расположенных на территории Удмуртской Республики»</w:t>
      </w:r>
      <w:r w:rsidR="00546424" w:rsidRPr="00EA7EB4">
        <w:rPr>
          <w:rFonts w:cs="Calibri"/>
          <w:sz w:val="28"/>
          <w:szCs w:val="28"/>
        </w:rPr>
        <w:t xml:space="preserve"> </w:t>
      </w:r>
      <w:r w:rsidRPr="00EA7EB4">
        <w:rPr>
          <w:rFonts w:cs="Calibri"/>
          <w:sz w:val="28"/>
          <w:szCs w:val="28"/>
        </w:rPr>
        <w:t>раздел</w:t>
      </w:r>
      <w:r w:rsidR="00546424" w:rsidRPr="00EA7EB4">
        <w:rPr>
          <w:rFonts w:cs="Calibri"/>
          <w:sz w:val="28"/>
          <w:szCs w:val="28"/>
        </w:rPr>
        <w:t>а</w:t>
      </w:r>
      <w:r w:rsidRPr="00EA7EB4">
        <w:rPr>
          <w:rFonts w:cs="Calibri"/>
          <w:sz w:val="28"/>
          <w:szCs w:val="28"/>
        </w:rPr>
        <w:t xml:space="preserve"> 2 «</w:t>
      </w:r>
      <w:r w:rsidR="00546424" w:rsidRPr="00EA7EB4">
        <w:rPr>
          <w:rFonts w:cs="Calibri"/>
          <w:sz w:val="28"/>
          <w:szCs w:val="28"/>
        </w:rPr>
        <w:t>Подпрограммы</w:t>
      </w:r>
      <w:r w:rsidRPr="00EA7EB4">
        <w:rPr>
          <w:rFonts w:cs="Calibri"/>
          <w:sz w:val="28"/>
          <w:szCs w:val="28"/>
        </w:rPr>
        <w:t xml:space="preserve"> государственн</w:t>
      </w:r>
      <w:r w:rsidR="00546424" w:rsidRPr="00EA7EB4">
        <w:rPr>
          <w:rFonts w:cs="Calibri"/>
          <w:sz w:val="28"/>
          <w:szCs w:val="28"/>
        </w:rPr>
        <w:t>ой программы</w:t>
      </w:r>
      <w:r w:rsidRPr="00EA7EB4">
        <w:rPr>
          <w:rFonts w:cs="Calibri"/>
          <w:sz w:val="28"/>
          <w:szCs w:val="28"/>
        </w:rPr>
        <w:t>»:</w:t>
      </w:r>
    </w:p>
    <w:p w:rsidR="00020555" w:rsidRPr="00EA7EB4" w:rsidRDefault="00B05683" w:rsidP="000C5785">
      <w:pPr>
        <w:ind w:firstLine="709"/>
        <w:jc w:val="both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>а) </w:t>
      </w:r>
      <w:r w:rsidR="00FD6938" w:rsidRPr="00EA7EB4">
        <w:rPr>
          <w:rFonts w:cs="Calibri"/>
          <w:sz w:val="28"/>
          <w:szCs w:val="28"/>
        </w:rPr>
        <w:t>в Паспорте подпрограммы:</w:t>
      </w:r>
    </w:p>
    <w:p w:rsidR="00F1391C" w:rsidRPr="00EA7EB4" w:rsidRDefault="00F1391C" w:rsidP="00F1391C">
      <w:pPr>
        <w:ind w:firstLine="709"/>
        <w:jc w:val="both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>в строке «Задачи подпрограммы» слова «обеспечение роста занятости инвалидов» заменить словами «обеспечение сохранения и роста занятости инвалидов»;</w:t>
      </w:r>
    </w:p>
    <w:p w:rsidR="00C77717" w:rsidRDefault="00C77717" w:rsidP="000C5785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строку</w:t>
      </w:r>
      <w:r w:rsidR="000A3EC5" w:rsidRPr="00EA7EB4">
        <w:rPr>
          <w:rFonts w:cs="Calibri"/>
          <w:sz w:val="28"/>
          <w:szCs w:val="28"/>
        </w:rPr>
        <w:t xml:space="preserve"> «Целевые показатели (индикаторы) подпрограммы»</w:t>
      </w:r>
      <w:r w:rsidR="00952651" w:rsidRPr="00EA7EB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изложить в следующей редакции:</w:t>
      </w:r>
    </w:p>
    <w:p w:rsidR="00420BC5" w:rsidRPr="00420BC5" w:rsidRDefault="00C77717" w:rsidP="000C5785">
      <w:pPr>
        <w:ind w:firstLine="709"/>
        <w:jc w:val="both"/>
        <w:rPr>
          <w:rFonts w:cs="Calibri"/>
          <w:sz w:val="28"/>
          <w:szCs w:val="28"/>
        </w:rPr>
      </w:pPr>
      <w:r w:rsidRPr="00420BC5">
        <w:rPr>
          <w:rFonts w:cs="Calibri"/>
          <w:sz w:val="28"/>
          <w:szCs w:val="28"/>
        </w:rPr>
        <w:t>«</w:t>
      </w:r>
    </w:p>
    <w:tbl>
      <w:tblPr>
        <w:tblStyle w:val="a4"/>
        <w:tblW w:w="0" w:type="auto"/>
        <w:tblLook w:val="04A0"/>
      </w:tblPr>
      <w:tblGrid>
        <w:gridCol w:w="2093"/>
        <w:gridCol w:w="8047"/>
      </w:tblGrid>
      <w:tr w:rsidR="00420BC5" w:rsidTr="00B81F0B">
        <w:tc>
          <w:tcPr>
            <w:tcW w:w="2093" w:type="dxa"/>
          </w:tcPr>
          <w:p w:rsidR="00420BC5" w:rsidRDefault="00420BC5" w:rsidP="00420BC5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Целевые </w:t>
            </w:r>
            <w:r>
              <w:rPr>
                <w:rFonts w:cs="Calibri"/>
                <w:sz w:val="28"/>
                <w:szCs w:val="28"/>
              </w:rPr>
              <w:lastRenderedPageBreak/>
              <w:t>показатели (индикаторы) подпрограммы</w:t>
            </w:r>
          </w:p>
        </w:tc>
        <w:tc>
          <w:tcPr>
            <w:tcW w:w="8047" w:type="dxa"/>
          </w:tcPr>
          <w:p w:rsidR="00420BC5" w:rsidRPr="00AF68EA" w:rsidRDefault="00420BC5" w:rsidP="00420BC5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 xml:space="preserve">удельный вес численности работающих инвалидов в </w:t>
            </w:r>
            <w:r w:rsidRPr="00AF68EA">
              <w:rPr>
                <w:rFonts w:cs="Calibri"/>
                <w:sz w:val="28"/>
                <w:szCs w:val="28"/>
              </w:rPr>
              <w:lastRenderedPageBreak/>
              <w:t>организациях ВОС в Удмуртской Республик</w:t>
            </w:r>
            <w:r w:rsidR="00826607" w:rsidRPr="00AF68EA">
              <w:rPr>
                <w:rFonts w:cs="Calibri"/>
                <w:sz w:val="28"/>
                <w:szCs w:val="28"/>
              </w:rPr>
              <w:t>е, в процентах;</w:t>
            </w:r>
          </w:p>
          <w:p w:rsidR="00AF68EA" w:rsidRPr="00AF68EA" w:rsidRDefault="00AF68EA" w:rsidP="00420BC5">
            <w:pPr>
              <w:rPr>
                <w:rFonts w:cs="Calibri"/>
                <w:sz w:val="28"/>
                <w:szCs w:val="28"/>
              </w:rPr>
            </w:pPr>
            <w:r w:rsidRPr="00AF68EA">
              <w:rPr>
                <w:rFonts w:cs="Calibri"/>
                <w:sz w:val="28"/>
                <w:szCs w:val="28"/>
              </w:rPr>
              <w:t>темп роста объёма отгруженных товаров, работ, услуг ООО «Глазов. Электрон», в процентах к предыдущему году;</w:t>
            </w:r>
          </w:p>
          <w:p w:rsidR="00AF68EA" w:rsidRPr="00AF68EA" w:rsidRDefault="00AF68EA" w:rsidP="00420BC5">
            <w:pPr>
              <w:rPr>
                <w:rFonts w:cs="Calibri"/>
                <w:sz w:val="28"/>
                <w:szCs w:val="28"/>
              </w:rPr>
            </w:pPr>
            <w:r w:rsidRPr="00AF68EA">
              <w:rPr>
                <w:rFonts w:cs="Calibri"/>
                <w:sz w:val="28"/>
                <w:szCs w:val="28"/>
              </w:rPr>
              <w:t>темп роста объёма отгруженных товаров, работ, услуг ООО «Ижевское предприятие «Спутник» им. Исаенко Е.М.», в процентах к предыдущему году;</w:t>
            </w:r>
          </w:p>
          <w:p w:rsidR="00826607" w:rsidRDefault="00AF68EA" w:rsidP="00420BC5">
            <w:pPr>
              <w:rPr>
                <w:rFonts w:cs="Calibri"/>
                <w:sz w:val="28"/>
                <w:szCs w:val="28"/>
              </w:rPr>
            </w:pPr>
            <w:r w:rsidRPr="00AF68EA">
              <w:rPr>
                <w:rFonts w:cs="Calibri"/>
                <w:sz w:val="28"/>
                <w:szCs w:val="28"/>
              </w:rPr>
              <w:t>темп роста объёма отгруженных товаров, работ, услуг ООО «Сарапульское предприятие «Промтехника», в процентах к предыдущему году</w:t>
            </w:r>
          </w:p>
        </w:tc>
      </w:tr>
    </w:tbl>
    <w:p w:rsidR="00C77717" w:rsidRPr="00420BC5" w:rsidRDefault="00C77717" w:rsidP="006C0B59">
      <w:pPr>
        <w:ind w:firstLine="709"/>
        <w:jc w:val="right"/>
        <w:rPr>
          <w:rFonts w:cs="Calibri"/>
          <w:sz w:val="28"/>
          <w:szCs w:val="28"/>
        </w:rPr>
      </w:pPr>
      <w:r w:rsidRPr="00420BC5">
        <w:rPr>
          <w:rFonts w:cs="Calibri"/>
          <w:sz w:val="28"/>
          <w:szCs w:val="28"/>
        </w:rPr>
        <w:lastRenderedPageBreak/>
        <w:t>»;</w:t>
      </w:r>
    </w:p>
    <w:p w:rsidR="00475959" w:rsidRPr="00EA7EB4" w:rsidRDefault="0008097A" w:rsidP="000C5785">
      <w:pPr>
        <w:ind w:firstLine="709"/>
        <w:jc w:val="both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>б) таблицу 8 «Прогноз развития сферы реализации подпрограммы» изложить в следующей редакции:</w:t>
      </w:r>
    </w:p>
    <w:p w:rsidR="0008097A" w:rsidRPr="00EA7EB4" w:rsidRDefault="0008097A" w:rsidP="000E322C">
      <w:pPr>
        <w:ind w:firstLine="709"/>
        <w:jc w:val="right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>«Таблица 8</w:t>
      </w:r>
    </w:p>
    <w:p w:rsidR="0008097A" w:rsidRPr="00EA7EB4" w:rsidRDefault="0008097A" w:rsidP="0008097A">
      <w:pPr>
        <w:jc w:val="center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>Прогноз развития сферы реализации подпрограммы</w:t>
      </w:r>
      <w:r w:rsidR="00AB3997" w:rsidRPr="00EA7EB4">
        <w:rPr>
          <w:rFonts w:cs="Calibri"/>
          <w:sz w:val="28"/>
          <w:szCs w:val="28"/>
        </w:rPr>
        <w:t>, млн. рублей</w:t>
      </w:r>
    </w:p>
    <w:p w:rsidR="006857F9" w:rsidRPr="00EA7EB4" w:rsidRDefault="006857F9" w:rsidP="0008097A">
      <w:pPr>
        <w:jc w:val="center"/>
        <w:rPr>
          <w:rFonts w:cs="Calibri"/>
          <w:sz w:val="28"/>
          <w:szCs w:val="28"/>
        </w:rPr>
      </w:pPr>
    </w:p>
    <w:tbl>
      <w:tblPr>
        <w:tblStyle w:val="a4"/>
        <w:tblW w:w="0" w:type="auto"/>
        <w:jc w:val="right"/>
        <w:tblLook w:val="04A0"/>
      </w:tblPr>
      <w:tblGrid>
        <w:gridCol w:w="1917"/>
        <w:gridCol w:w="909"/>
        <w:gridCol w:w="1035"/>
        <w:gridCol w:w="876"/>
        <w:gridCol w:w="783"/>
        <w:gridCol w:w="876"/>
        <w:gridCol w:w="876"/>
        <w:gridCol w:w="876"/>
        <w:gridCol w:w="996"/>
        <w:gridCol w:w="996"/>
      </w:tblGrid>
      <w:tr w:rsidR="00CF7890" w:rsidRPr="00EA7EB4" w:rsidTr="00BE0422">
        <w:trPr>
          <w:jc w:val="right"/>
        </w:trPr>
        <w:tc>
          <w:tcPr>
            <w:tcW w:w="2106" w:type="dxa"/>
            <w:vMerge w:val="restart"/>
            <w:vAlign w:val="center"/>
          </w:tcPr>
          <w:p w:rsidR="00CF7890" w:rsidRPr="006E4974" w:rsidRDefault="00CF7890" w:rsidP="00CF7890">
            <w:pPr>
              <w:jc w:val="center"/>
              <w:rPr>
                <w:rFonts w:cs="Calibri"/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2" w:type="dxa"/>
            <w:gridSpan w:val="2"/>
            <w:vAlign w:val="center"/>
          </w:tcPr>
          <w:p w:rsidR="00CF7890" w:rsidRPr="006E4974" w:rsidRDefault="00CF7890" w:rsidP="00CF7890">
            <w:pPr>
              <w:jc w:val="center"/>
              <w:rPr>
                <w:rFonts w:cs="Calibri"/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Факт</w:t>
            </w:r>
          </w:p>
        </w:tc>
        <w:tc>
          <w:tcPr>
            <w:tcW w:w="5922" w:type="dxa"/>
            <w:gridSpan w:val="7"/>
            <w:vAlign w:val="center"/>
          </w:tcPr>
          <w:p w:rsidR="00CF7890" w:rsidRPr="006E4974" w:rsidRDefault="00CF7890" w:rsidP="00CF7890">
            <w:pPr>
              <w:jc w:val="center"/>
              <w:rPr>
                <w:rFonts w:cs="Calibri"/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Прогноз</w:t>
            </w:r>
          </w:p>
        </w:tc>
      </w:tr>
      <w:tr w:rsidR="00CF7890" w:rsidRPr="00EA7EB4" w:rsidTr="00BE0422">
        <w:trPr>
          <w:jc w:val="right"/>
        </w:trPr>
        <w:tc>
          <w:tcPr>
            <w:tcW w:w="2106" w:type="dxa"/>
            <w:vMerge/>
            <w:vAlign w:val="center"/>
          </w:tcPr>
          <w:p w:rsidR="00CF7890" w:rsidRPr="006E4974" w:rsidRDefault="00CF7890" w:rsidP="00CF789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CF7890" w:rsidRPr="006E4974" w:rsidRDefault="00CF7890" w:rsidP="00CF7890">
            <w:pPr>
              <w:jc w:val="center"/>
              <w:rPr>
                <w:rFonts w:cs="Calibri"/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2012 год</w:t>
            </w:r>
          </w:p>
        </w:tc>
        <w:tc>
          <w:tcPr>
            <w:tcW w:w="1126" w:type="dxa"/>
          </w:tcPr>
          <w:p w:rsidR="00CF7890" w:rsidRPr="006E4974" w:rsidRDefault="00CF7890" w:rsidP="00CF7890">
            <w:pPr>
              <w:rPr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2013 год</w:t>
            </w:r>
          </w:p>
        </w:tc>
        <w:tc>
          <w:tcPr>
            <w:tcW w:w="846" w:type="dxa"/>
          </w:tcPr>
          <w:p w:rsidR="00CF7890" w:rsidRPr="006E4974" w:rsidRDefault="00CF7890" w:rsidP="00CF7890">
            <w:pPr>
              <w:rPr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2014 год</w:t>
            </w:r>
          </w:p>
        </w:tc>
        <w:tc>
          <w:tcPr>
            <w:tcW w:w="846" w:type="dxa"/>
          </w:tcPr>
          <w:p w:rsidR="00CF7890" w:rsidRPr="006E4974" w:rsidRDefault="00CF7890" w:rsidP="00CF7890">
            <w:pPr>
              <w:rPr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2015 год</w:t>
            </w:r>
          </w:p>
        </w:tc>
        <w:tc>
          <w:tcPr>
            <w:tcW w:w="846" w:type="dxa"/>
          </w:tcPr>
          <w:p w:rsidR="00CF7890" w:rsidRPr="006E4974" w:rsidRDefault="00CF7890" w:rsidP="00CF7890">
            <w:pPr>
              <w:rPr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2016 год</w:t>
            </w:r>
          </w:p>
        </w:tc>
        <w:tc>
          <w:tcPr>
            <w:tcW w:w="846" w:type="dxa"/>
          </w:tcPr>
          <w:p w:rsidR="00CF7890" w:rsidRPr="006E4974" w:rsidRDefault="00CF7890" w:rsidP="00CF7890">
            <w:pPr>
              <w:rPr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2017 год</w:t>
            </w:r>
          </w:p>
        </w:tc>
        <w:tc>
          <w:tcPr>
            <w:tcW w:w="846" w:type="dxa"/>
          </w:tcPr>
          <w:p w:rsidR="00CF7890" w:rsidRPr="006E4974" w:rsidRDefault="00CF7890" w:rsidP="00CF7890">
            <w:pPr>
              <w:rPr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2018 год</w:t>
            </w:r>
          </w:p>
        </w:tc>
        <w:tc>
          <w:tcPr>
            <w:tcW w:w="846" w:type="dxa"/>
          </w:tcPr>
          <w:p w:rsidR="00CF7890" w:rsidRPr="006E4974" w:rsidRDefault="00CF7890" w:rsidP="00CF7890">
            <w:pPr>
              <w:rPr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2019 год</w:t>
            </w:r>
          </w:p>
        </w:tc>
        <w:tc>
          <w:tcPr>
            <w:tcW w:w="846" w:type="dxa"/>
          </w:tcPr>
          <w:p w:rsidR="00CF7890" w:rsidRPr="006E4974" w:rsidRDefault="00CF7890" w:rsidP="00CF7890">
            <w:pPr>
              <w:rPr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2020 год</w:t>
            </w:r>
          </w:p>
        </w:tc>
      </w:tr>
      <w:tr w:rsidR="008200C8" w:rsidRPr="00EA7EB4" w:rsidTr="006E4974">
        <w:trPr>
          <w:jc w:val="right"/>
        </w:trPr>
        <w:tc>
          <w:tcPr>
            <w:tcW w:w="2106" w:type="dxa"/>
          </w:tcPr>
          <w:p w:rsidR="008200C8" w:rsidRPr="006E4974" w:rsidRDefault="008200C8" w:rsidP="005D7103">
            <w:pPr>
              <w:jc w:val="both"/>
              <w:rPr>
                <w:rFonts w:cs="Calibri"/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Объём отгруженных товаров, работ, услуг ООО «Глазов. Электрон»</w:t>
            </w:r>
          </w:p>
        </w:tc>
        <w:tc>
          <w:tcPr>
            <w:tcW w:w="98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71,74</w:t>
            </w:r>
          </w:p>
        </w:tc>
        <w:tc>
          <w:tcPr>
            <w:tcW w:w="112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82,3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90,53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90,53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90,53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95,06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95,06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99,81</w:t>
            </w:r>
          </w:p>
        </w:tc>
      </w:tr>
      <w:tr w:rsidR="008200C8" w:rsidRPr="00EA7EB4" w:rsidTr="006E4974">
        <w:trPr>
          <w:jc w:val="right"/>
        </w:trPr>
        <w:tc>
          <w:tcPr>
            <w:tcW w:w="2106" w:type="dxa"/>
          </w:tcPr>
          <w:p w:rsidR="008200C8" w:rsidRPr="006E4974" w:rsidRDefault="008200C8" w:rsidP="005D7103">
            <w:pPr>
              <w:jc w:val="both"/>
              <w:rPr>
                <w:rFonts w:cs="Calibri"/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Объём отгруженных товаров, работ, услуг ООО «Ижевское предприятие «Спутник» им. Исаенко Е.М.»</w:t>
            </w:r>
          </w:p>
        </w:tc>
        <w:tc>
          <w:tcPr>
            <w:tcW w:w="98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85,398</w:t>
            </w:r>
          </w:p>
        </w:tc>
        <w:tc>
          <w:tcPr>
            <w:tcW w:w="112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107,643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93,4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846" w:type="dxa"/>
            <w:vAlign w:val="center"/>
          </w:tcPr>
          <w:p w:rsidR="008200C8" w:rsidRPr="006E4974" w:rsidRDefault="008200C8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153,7</w:t>
            </w:r>
          </w:p>
        </w:tc>
      </w:tr>
      <w:tr w:rsidR="00BE0422" w:rsidRPr="00EA7EB4" w:rsidTr="006E4974">
        <w:trPr>
          <w:jc w:val="right"/>
        </w:trPr>
        <w:tc>
          <w:tcPr>
            <w:tcW w:w="2106" w:type="dxa"/>
          </w:tcPr>
          <w:p w:rsidR="00BE0422" w:rsidRPr="006E4974" w:rsidRDefault="00BE0422" w:rsidP="005D7103">
            <w:pPr>
              <w:jc w:val="both"/>
              <w:rPr>
                <w:rFonts w:cs="Calibri"/>
                <w:sz w:val="24"/>
                <w:szCs w:val="24"/>
              </w:rPr>
            </w:pPr>
            <w:r w:rsidRPr="006E4974">
              <w:rPr>
                <w:rFonts w:cs="Calibri"/>
                <w:sz w:val="24"/>
                <w:szCs w:val="24"/>
              </w:rPr>
              <w:t>Объём отгруженных товаров, работ, услуг ООО «Сарапульское предприятие «Промтехника»</w:t>
            </w:r>
          </w:p>
        </w:tc>
        <w:tc>
          <w:tcPr>
            <w:tcW w:w="986" w:type="dxa"/>
            <w:vAlign w:val="center"/>
          </w:tcPr>
          <w:p w:rsidR="00BE0422" w:rsidRPr="006E4974" w:rsidRDefault="00BE0422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74,779</w:t>
            </w:r>
          </w:p>
        </w:tc>
        <w:tc>
          <w:tcPr>
            <w:tcW w:w="1126" w:type="dxa"/>
            <w:vAlign w:val="center"/>
          </w:tcPr>
          <w:p w:rsidR="00BE0422" w:rsidRPr="006E4974" w:rsidRDefault="00BE0422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64,542</w:t>
            </w:r>
          </w:p>
        </w:tc>
        <w:tc>
          <w:tcPr>
            <w:tcW w:w="846" w:type="dxa"/>
            <w:vAlign w:val="center"/>
          </w:tcPr>
          <w:p w:rsidR="00BE0422" w:rsidRPr="006E4974" w:rsidRDefault="00BE0422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69,677</w:t>
            </w:r>
          </w:p>
        </w:tc>
        <w:tc>
          <w:tcPr>
            <w:tcW w:w="846" w:type="dxa"/>
            <w:vAlign w:val="center"/>
          </w:tcPr>
          <w:p w:rsidR="00BE0422" w:rsidRPr="006E4974" w:rsidRDefault="00BE0422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75,08</w:t>
            </w:r>
          </w:p>
        </w:tc>
        <w:tc>
          <w:tcPr>
            <w:tcW w:w="846" w:type="dxa"/>
            <w:vAlign w:val="center"/>
          </w:tcPr>
          <w:p w:rsidR="00BE0422" w:rsidRPr="006E4974" w:rsidRDefault="00BE0422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80,948</w:t>
            </w:r>
          </w:p>
        </w:tc>
        <w:tc>
          <w:tcPr>
            <w:tcW w:w="846" w:type="dxa"/>
            <w:vAlign w:val="center"/>
          </w:tcPr>
          <w:p w:rsidR="00BE0422" w:rsidRPr="006E4974" w:rsidRDefault="00BE0422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87,424</w:t>
            </w:r>
          </w:p>
        </w:tc>
        <w:tc>
          <w:tcPr>
            <w:tcW w:w="846" w:type="dxa"/>
            <w:vAlign w:val="center"/>
          </w:tcPr>
          <w:p w:rsidR="00BE0422" w:rsidRPr="006E4974" w:rsidRDefault="00BE0422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94,592</w:t>
            </w:r>
          </w:p>
        </w:tc>
        <w:tc>
          <w:tcPr>
            <w:tcW w:w="846" w:type="dxa"/>
            <w:vAlign w:val="center"/>
          </w:tcPr>
          <w:p w:rsidR="00BE0422" w:rsidRPr="006E4974" w:rsidRDefault="00BE0422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102,443</w:t>
            </w:r>
          </w:p>
        </w:tc>
        <w:tc>
          <w:tcPr>
            <w:tcW w:w="846" w:type="dxa"/>
            <w:vAlign w:val="center"/>
          </w:tcPr>
          <w:p w:rsidR="00BE0422" w:rsidRPr="006E4974" w:rsidRDefault="00BE0422" w:rsidP="006E4974">
            <w:pPr>
              <w:jc w:val="center"/>
              <w:rPr>
                <w:color w:val="000000"/>
                <w:sz w:val="24"/>
                <w:szCs w:val="24"/>
              </w:rPr>
            </w:pPr>
            <w:r w:rsidRPr="006E4974">
              <w:rPr>
                <w:color w:val="000000"/>
                <w:sz w:val="24"/>
                <w:szCs w:val="24"/>
              </w:rPr>
              <w:t>111,151</w:t>
            </w:r>
          </w:p>
        </w:tc>
      </w:tr>
    </w:tbl>
    <w:p w:rsidR="0008097A" w:rsidRPr="00EA7EB4" w:rsidRDefault="00583337" w:rsidP="00301BA0">
      <w:pPr>
        <w:jc w:val="right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>»;</w:t>
      </w:r>
    </w:p>
    <w:p w:rsidR="00E315B9" w:rsidRPr="00EA7EB4" w:rsidRDefault="00E315B9" w:rsidP="00E315B9">
      <w:pPr>
        <w:ind w:firstLine="709"/>
        <w:jc w:val="both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 xml:space="preserve">в) абзац </w:t>
      </w:r>
      <w:r w:rsidR="0078484F" w:rsidRPr="00EA7EB4">
        <w:rPr>
          <w:rFonts w:cs="Calibri"/>
          <w:sz w:val="28"/>
          <w:szCs w:val="28"/>
        </w:rPr>
        <w:t>шест</w:t>
      </w:r>
      <w:r w:rsidRPr="00EA7EB4">
        <w:rPr>
          <w:rFonts w:cs="Calibri"/>
          <w:sz w:val="28"/>
          <w:szCs w:val="28"/>
        </w:rPr>
        <w:t xml:space="preserve">надцатый </w:t>
      </w:r>
      <w:r w:rsidR="00190166">
        <w:rPr>
          <w:rFonts w:cs="Calibri"/>
          <w:sz w:val="28"/>
          <w:szCs w:val="28"/>
        </w:rPr>
        <w:t>под</w:t>
      </w:r>
      <w:r w:rsidRPr="00EA7EB4">
        <w:rPr>
          <w:rFonts w:cs="Calibri"/>
          <w:sz w:val="28"/>
          <w:szCs w:val="28"/>
        </w:rPr>
        <w:t xml:space="preserve">подраздела 2.2.2 «Цели, задачи в сфере социально-экономического развития, в рамках которой реализуется подпрограмма» </w:t>
      </w:r>
      <w:r w:rsidR="004B3332">
        <w:rPr>
          <w:rFonts w:cs="Calibri"/>
          <w:sz w:val="28"/>
          <w:szCs w:val="28"/>
        </w:rPr>
        <w:t xml:space="preserve">подраздела </w:t>
      </w:r>
      <w:r w:rsidR="004B3332" w:rsidRPr="00EA7EB4">
        <w:rPr>
          <w:rFonts w:cs="Calibri"/>
          <w:sz w:val="28"/>
          <w:szCs w:val="28"/>
        </w:rPr>
        <w:t>2.2 «Подпрограмма «Сохранение и создание рабочих мест для инвалидов в организациях Общероссийской общественной организации инвалидов «Всероссийское ордена Трудового Красного Знамени общество слепых», расположенных на территории Удмуртской Республики» раздела 2 «Подпрограммы государственной программы»</w:t>
      </w:r>
      <w:r w:rsidR="004B3332">
        <w:rPr>
          <w:rFonts w:cs="Calibri"/>
          <w:sz w:val="28"/>
          <w:szCs w:val="28"/>
        </w:rPr>
        <w:t xml:space="preserve"> </w:t>
      </w:r>
      <w:r w:rsidRPr="00EA7EB4">
        <w:rPr>
          <w:rFonts w:cs="Calibri"/>
          <w:sz w:val="28"/>
          <w:szCs w:val="28"/>
        </w:rPr>
        <w:t>изложить в следующей редакции:</w:t>
      </w:r>
    </w:p>
    <w:p w:rsidR="0008097A" w:rsidRPr="00EA7EB4" w:rsidRDefault="00E315B9" w:rsidP="000C5785">
      <w:pPr>
        <w:ind w:firstLine="709"/>
        <w:jc w:val="both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>«</w:t>
      </w:r>
      <w:r w:rsidR="00F72BD1" w:rsidRPr="00EA7EB4">
        <w:rPr>
          <w:rFonts w:cs="Calibri"/>
          <w:sz w:val="28"/>
          <w:szCs w:val="28"/>
        </w:rPr>
        <w:t xml:space="preserve">обеспечение сохранения и роста занятости инвалидов в организациях ВОС </w:t>
      </w:r>
      <w:r w:rsidR="00F72BD1" w:rsidRPr="00EA7EB4">
        <w:rPr>
          <w:rFonts w:cs="Calibri"/>
          <w:sz w:val="28"/>
          <w:szCs w:val="28"/>
        </w:rPr>
        <w:lastRenderedPageBreak/>
        <w:t>в Удмуртской Республике;»;</w:t>
      </w:r>
    </w:p>
    <w:p w:rsidR="00FF01EC" w:rsidRPr="00EA7EB4" w:rsidRDefault="00FF01EC" w:rsidP="00FF01EC">
      <w:pPr>
        <w:ind w:firstLine="709"/>
        <w:jc w:val="both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 xml:space="preserve">г) в абзаце четвёртом </w:t>
      </w:r>
      <w:r w:rsidR="001C73DC">
        <w:rPr>
          <w:rFonts w:cs="Calibri"/>
          <w:sz w:val="28"/>
          <w:szCs w:val="28"/>
        </w:rPr>
        <w:t>под</w:t>
      </w:r>
      <w:r w:rsidRPr="00EA7EB4">
        <w:rPr>
          <w:rFonts w:cs="Calibri"/>
          <w:sz w:val="28"/>
          <w:szCs w:val="28"/>
        </w:rPr>
        <w:t xml:space="preserve">подраздела 2.2.6 «Меры государственного регулирования, направленные на достижение целей и задач подпрограммы» </w:t>
      </w:r>
      <w:r w:rsidR="001C73DC">
        <w:rPr>
          <w:rFonts w:cs="Calibri"/>
          <w:sz w:val="28"/>
          <w:szCs w:val="28"/>
        </w:rPr>
        <w:t xml:space="preserve">подраздела </w:t>
      </w:r>
      <w:r w:rsidR="001C73DC" w:rsidRPr="00EA7EB4">
        <w:rPr>
          <w:rFonts w:cs="Calibri"/>
          <w:sz w:val="28"/>
          <w:szCs w:val="28"/>
        </w:rPr>
        <w:t>2.2 «Подпрограмма «Сохранение и создание рабочих мест для инвалидов в организациях Общероссийской общественной организации инвалидов «Всероссийское ордена Трудового Красного Знамени общество слепых», расположенных на территории Удмуртской Республики» раздела 2 «Подпрограммы государственной программы»</w:t>
      </w:r>
      <w:r w:rsidR="001C73DC">
        <w:rPr>
          <w:rFonts w:cs="Calibri"/>
          <w:sz w:val="28"/>
          <w:szCs w:val="28"/>
        </w:rPr>
        <w:t xml:space="preserve"> </w:t>
      </w:r>
      <w:r w:rsidRPr="00EA7EB4">
        <w:rPr>
          <w:rFonts w:cs="Calibri"/>
          <w:sz w:val="28"/>
          <w:szCs w:val="28"/>
        </w:rPr>
        <w:t>слова «, а также создать новые рабочие места» исключить;</w:t>
      </w:r>
    </w:p>
    <w:p w:rsidR="00F72BD1" w:rsidRPr="00EA7EB4" w:rsidRDefault="009F7DA7" w:rsidP="000C5785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F14007" w:rsidRPr="00EA7EB4">
        <w:rPr>
          <w:rFonts w:cs="Calibri"/>
          <w:sz w:val="28"/>
          <w:szCs w:val="28"/>
        </w:rPr>
        <w:t>) в приложении 1 «Сведения о составе и значениях целевых показателей (индикаторов) государственной программы «Развитие промышленности и повышение её конкурентоспособности»:</w:t>
      </w:r>
    </w:p>
    <w:p w:rsidR="00F14007" w:rsidRPr="00EA7EB4" w:rsidRDefault="00282379" w:rsidP="000C5785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 </w:t>
      </w:r>
      <w:r w:rsidR="000B6F0F" w:rsidRPr="00EA7EB4">
        <w:rPr>
          <w:rFonts w:cs="Calibri"/>
          <w:sz w:val="28"/>
          <w:szCs w:val="28"/>
        </w:rPr>
        <w:t xml:space="preserve">строку с наименованием целевого показателя (индикатора) «Темп роста </w:t>
      </w:r>
      <w:r w:rsidR="003319CA" w:rsidRPr="00EA7EB4">
        <w:rPr>
          <w:rFonts w:cs="Calibri"/>
          <w:sz w:val="28"/>
          <w:szCs w:val="28"/>
        </w:rPr>
        <w:t>объёма</w:t>
      </w:r>
      <w:r w:rsidR="000B6F0F" w:rsidRPr="00EA7EB4">
        <w:rPr>
          <w:rFonts w:cs="Calibri"/>
          <w:sz w:val="28"/>
          <w:szCs w:val="28"/>
        </w:rPr>
        <w:t xml:space="preserve"> отгруженных товаров, работ, услуг организаци</w:t>
      </w:r>
      <w:r w:rsidR="005F560E" w:rsidRPr="00EA7EB4">
        <w:rPr>
          <w:rFonts w:cs="Calibri"/>
          <w:sz w:val="28"/>
          <w:szCs w:val="28"/>
        </w:rPr>
        <w:t>ями</w:t>
      </w:r>
      <w:r w:rsidR="000B6F0F" w:rsidRPr="00EA7EB4">
        <w:rPr>
          <w:rFonts w:cs="Calibri"/>
          <w:sz w:val="28"/>
          <w:szCs w:val="28"/>
        </w:rPr>
        <w:t xml:space="preserve"> ВОС, осуществляющи</w:t>
      </w:r>
      <w:r w:rsidR="005B2D38" w:rsidRPr="00EA7EB4">
        <w:rPr>
          <w:rFonts w:cs="Calibri"/>
          <w:sz w:val="28"/>
          <w:szCs w:val="28"/>
        </w:rPr>
        <w:t>ми</w:t>
      </w:r>
      <w:r w:rsidR="000B6F0F" w:rsidRPr="00EA7EB4">
        <w:rPr>
          <w:rFonts w:cs="Calibri"/>
          <w:sz w:val="28"/>
          <w:szCs w:val="28"/>
        </w:rPr>
        <w:t xml:space="preserve"> производственную деятельность на территории Удмуртской Республик</w:t>
      </w:r>
      <w:r w:rsidR="005B2D38" w:rsidRPr="00EA7EB4">
        <w:rPr>
          <w:rFonts w:cs="Calibri"/>
          <w:sz w:val="28"/>
          <w:szCs w:val="28"/>
        </w:rPr>
        <w:t>е» исключить;</w:t>
      </w:r>
    </w:p>
    <w:p w:rsidR="005B2D38" w:rsidRPr="00EA7EB4" w:rsidRDefault="00282379" w:rsidP="000C5785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б) </w:t>
      </w:r>
      <w:r w:rsidR="005B2D38" w:rsidRPr="00EA7EB4">
        <w:rPr>
          <w:rFonts w:cs="Calibri"/>
          <w:sz w:val="28"/>
          <w:szCs w:val="28"/>
        </w:rPr>
        <w:t>после строки с наименованием целевого показателя (индикатора) «Удельный вес численности работающих инвалидов в организациях ВОС в Удмуртской Республике» добавить строки следующего содержания:</w:t>
      </w:r>
    </w:p>
    <w:p w:rsidR="005B2D38" w:rsidRPr="00EA7EB4" w:rsidRDefault="005B2D38" w:rsidP="000C5785">
      <w:pPr>
        <w:ind w:firstLine="709"/>
        <w:jc w:val="both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>«</w:t>
      </w:r>
    </w:p>
    <w:tbl>
      <w:tblPr>
        <w:tblStyle w:val="a4"/>
        <w:tblW w:w="0" w:type="auto"/>
        <w:jc w:val="right"/>
        <w:tblLayout w:type="fixed"/>
        <w:tblLook w:val="04A0"/>
      </w:tblPr>
      <w:tblGrid>
        <w:gridCol w:w="534"/>
        <w:gridCol w:w="425"/>
        <w:gridCol w:w="283"/>
        <w:gridCol w:w="1453"/>
        <w:gridCol w:w="674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8"/>
      </w:tblGrid>
      <w:tr w:rsidR="00D239E0" w:rsidRPr="00EA7EB4" w:rsidTr="00D239E0">
        <w:trPr>
          <w:jc w:val="right"/>
        </w:trPr>
        <w:tc>
          <w:tcPr>
            <w:tcW w:w="534" w:type="dxa"/>
          </w:tcPr>
          <w:p w:rsidR="00D239E0" w:rsidRPr="00661727" w:rsidRDefault="00D239E0" w:rsidP="005B2D38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15</w:t>
            </w:r>
          </w:p>
        </w:tc>
        <w:tc>
          <w:tcPr>
            <w:tcW w:w="425" w:type="dxa"/>
          </w:tcPr>
          <w:p w:rsidR="00D239E0" w:rsidRPr="00661727" w:rsidRDefault="00D239E0" w:rsidP="005B2D38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02</w:t>
            </w:r>
          </w:p>
        </w:tc>
        <w:tc>
          <w:tcPr>
            <w:tcW w:w="283" w:type="dxa"/>
          </w:tcPr>
          <w:p w:rsidR="00D239E0" w:rsidRPr="00661727" w:rsidRDefault="00D239E0" w:rsidP="005B2D38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2</w:t>
            </w:r>
          </w:p>
        </w:tc>
        <w:tc>
          <w:tcPr>
            <w:tcW w:w="1453" w:type="dxa"/>
          </w:tcPr>
          <w:p w:rsidR="00D239E0" w:rsidRPr="00661727" w:rsidRDefault="00D239E0" w:rsidP="005B2D38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Темп роста объёма отгруженных товаров, работ, услуг ООО «Глазов. Электрон»</w:t>
            </w:r>
          </w:p>
        </w:tc>
        <w:tc>
          <w:tcPr>
            <w:tcW w:w="674" w:type="dxa"/>
          </w:tcPr>
          <w:p w:rsidR="00D239E0" w:rsidRPr="00661727" w:rsidRDefault="00D239E0" w:rsidP="005B2D38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% к предыдущему году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191,1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57,8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114,7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110,0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100,0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100,0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105,0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100,0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105,0</w:t>
            </w:r>
          </w:p>
        </w:tc>
        <w:tc>
          <w:tcPr>
            <w:tcW w:w="678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100,0</w:t>
            </w:r>
          </w:p>
        </w:tc>
      </w:tr>
      <w:tr w:rsidR="00D239E0" w:rsidRPr="00EA7EB4" w:rsidTr="00D239E0">
        <w:trPr>
          <w:jc w:val="right"/>
        </w:trPr>
        <w:tc>
          <w:tcPr>
            <w:tcW w:w="534" w:type="dxa"/>
          </w:tcPr>
          <w:p w:rsidR="00D239E0" w:rsidRPr="00661727" w:rsidRDefault="00D239E0" w:rsidP="00282379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15</w:t>
            </w:r>
          </w:p>
        </w:tc>
        <w:tc>
          <w:tcPr>
            <w:tcW w:w="425" w:type="dxa"/>
          </w:tcPr>
          <w:p w:rsidR="00D239E0" w:rsidRPr="00661727" w:rsidRDefault="00D239E0" w:rsidP="00282379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02</w:t>
            </w:r>
          </w:p>
        </w:tc>
        <w:tc>
          <w:tcPr>
            <w:tcW w:w="283" w:type="dxa"/>
          </w:tcPr>
          <w:p w:rsidR="00D239E0" w:rsidRPr="00661727" w:rsidRDefault="00D239E0" w:rsidP="00282379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3</w:t>
            </w:r>
          </w:p>
        </w:tc>
        <w:tc>
          <w:tcPr>
            <w:tcW w:w="1453" w:type="dxa"/>
          </w:tcPr>
          <w:p w:rsidR="00D239E0" w:rsidRPr="00661727" w:rsidRDefault="00D239E0" w:rsidP="00282379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Темп роста объёма отгруженных товаров, работ, услуг ООО «Ижевское предприятие «Спутник» им. Исаенко Е.М.»</w:t>
            </w:r>
          </w:p>
        </w:tc>
        <w:tc>
          <w:tcPr>
            <w:tcW w:w="674" w:type="dxa"/>
          </w:tcPr>
          <w:p w:rsidR="00D239E0" w:rsidRPr="00661727" w:rsidRDefault="00D239E0" w:rsidP="00282379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% к предыдущему году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120,5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100,8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126,0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78,0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111,2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112,4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110,0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110,2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109,7</w:t>
            </w:r>
          </w:p>
        </w:tc>
        <w:tc>
          <w:tcPr>
            <w:tcW w:w="678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110,0</w:t>
            </w:r>
          </w:p>
        </w:tc>
      </w:tr>
      <w:tr w:rsidR="00D239E0" w:rsidRPr="00EA7EB4" w:rsidTr="00D239E0">
        <w:trPr>
          <w:jc w:val="right"/>
        </w:trPr>
        <w:tc>
          <w:tcPr>
            <w:tcW w:w="534" w:type="dxa"/>
          </w:tcPr>
          <w:p w:rsidR="00D239E0" w:rsidRPr="00661727" w:rsidRDefault="00D239E0" w:rsidP="00282379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15</w:t>
            </w:r>
          </w:p>
        </w:tc>
        <w:tc>
          <w:tcPr>
            <w:tcW w:w="425" w:type="dxa"/>
          </w:tcPr>
          <w:p w:rsidR="00D239E0" w:rsidRPr="00661727" w:rsidRDefault="00D239E0" w:rsidP="00282379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02</w:t>
            </w:r>
          </w:p>
        </w:tc>
        <w:tc>
          <w:tcPr>
            <w:tcW w:w="283" w:type="dxa"/>
          </w:tcPr>
          <w:p w:rsidR="00D239E0" w:rsidRPr="00661727" w:rsidRDefault="00D239E0" w:rsidP="00282379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4</w:t>
            </w:r>
          </w:p>
        </w:tc>
        <w:tc>
          <w:tcPr>
            <w:tcW w:w="1453" w:type="dxa"/>
          </w:tcPr>
          <w:p w:rsidR="00D239E0" w:rsidRPr="00661727" w:rsidRDefault="00D239E0" w:rsidP="00282379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 xml:space="preserve">Темп роста объёма отгруженных товаров, работ, услуг </w:t>
            </w:r>
            <w:r w:rsidRPr="00911BD1">
              <w:rPr>
                <w:rFonts w:cs="Calibri"/>
              </w:rPr>
              <w:t>ООО «Сарапульское предприятие «Промтехника»</w:t>
            </w:r>
          </w:p>
        </w:tc>
        <w:tc>
          <w:tcPr>
            <w:tcW w:w="674" w:type="dxa"/>
          </w:tcPr>
          <w:p w:rsidR="00D239E0" w:rsidRPr="00661727" w:rsidRDefault="00D239E0" w:rsidP="00282379">
            <w:pPr>
              <w:jc w:val="both"/>
              <w:rPr>
                <w:rFonts w:cs="Calibri"/>
              </w:rPr>
            </w:pPr>
            <w:r w:rsidRPr="00661727">
              <w:rPr>
                <w:rFonts w:cs="Calibri"/>
              </w:rPr>
              <w:t>% к предыдущему году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113,6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76,3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86,3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108,0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107,8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107,8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108,0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108,2</w:t>
            </w:r>
          </w:p>
        </w:tc>
        <w:tc>
          <w:tcPr>
            <w:tcW w:w="677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108,3</w:t>
            </w:r>
          </w:p>
        </w:tc>
        <w:tc>
          <w:tcPr>
            <w:tcW w:w="678" w:type="dxa"/>
            <w:vAlign w:val="center"/>
          </w:tcPr>
          <w:p w:rsidR="00D239E0" w:rsidRPr="00D239E0" w:rsidRDefault="00D239E0" w:rsidP="00D239E0">
            <w:pPr>
              <w:jc w:val="center"/>
              <w:rPr>
                <w:color w:val="000000"/>
              </w:rPr>
            </w:pPr>
            <w:r w:rsidRPr="00D239E0">
              <w:rPr>
                <w:color w:val="000000"/>
              </w:rPr>
              <w:t>108,5</w:t>
            </w:r>
          </w:p>
        </w:tc>
      </w:tr>
    </w:tbl>
    <w:p w:rsidR="005B2D38" w:rsidRDefault="000451CF" w:rsidP="006951FB">
      <w:pPr>
        <w:jc w:val="right"/>
        <w:rPr>
          <w:rFonts w:cs="Calibri"/>
          <w:sz w:val="28"/>
          <w:szCs w:val="28"/>
        </w:rPr>
      </w:pPr>
      <w:r w:rsidRPr="00EA7EB4">
        <w:rPr>
          <w:rFonts w:cs="Calibri"/>
          <w:sz w:val="28"/>
          <w:szCs w:val="28"/>
        </w:rPr>
        <w:t>»</w:t>
      </w:r>
      <w:r w:rsidR="005B2E21">
        <w:rPr>
          <w:rFonts w:cs="Calibri"/>
          <w:sz w:val="28"/>
          <w:szCs w:val="28"/>
        </w:rPr>
        <w:t>;</w:t>
      </w:r>
    </w:p>
    <w:p w:rsidR="00282379" w:rsidRPr="00EA7EB4" w:rsidRDefault="00282379" w:rsidP="00282379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5) </w:t>
      </w:r>
      <w:r w:rsidR="00730C1E">
        <w:rPr>
          <w:rFonts w:cs="Calibri"/>
          <w:sz w:val="28"/>
          <w:szCs w:val="28"/>
        </w:rPr>
        <w:t>в</w:t>
      </w:r>
      <w:r>
        <w:rPr>
          <w:rFonts w:cs="Calibri"/>
          <w:sz w:val="28"/>
          <w:szCs w:val="28"/>
        </w:rPr>
        <w:t xml:space="preserve"> </w:t>
      </w:r>
      <w:r w:rsidRPr="00EA7EB4">
        <w:rPr>
          <w:rFonts w:cs="Calibri"/>
          <w:sz w:val="28"/>
          <w:szCs w:val="28"/>
        </w:rPr>
        <w:t xml:space="preserve">приложении </w:t>
      </w:r>
      <w:r>
        <w:rPr>
          <w:rFonts w:cs="Calibri"/>
          <w:sz w:val="28"/>
          <w:szCs w:val="28"/>
        </w:rPr>
        <w:t>2</w:t>
      </w:r>
      <w:r w:rsidRPr="00EA7EB4">
        <w:rPr>
          <w:rFonts w:cs="Calibri"/>
          <w:sz w:val="28"/>
          <w:szCs w:val="28"/>
        </w:rPr>
        <w:t xml:space="preserve"> «</w:t>
      </w:r>
      <w:r>
        <w:rPr>
          <w:rFonts w:cs="Calibri"/>
          <w:sz w:val="28"/>
          <w:szCs w:val="28"/>
        </w:rPr>
        <w:t>Перечень основных мероприятий</w:t>
      </w:r>
      <w:r w:rsidRPr="00EA7EB4">
        <w:rPr>
          <w:rFonts w:cs="Calibri"/>
          <w:sz w:val="28"/>
          <w:szCs w:val="28"/>
        </w:rPr>
        <w:t xml:space="preserve"> государственной программы «Развитие промышленности и повы</w:t>
      </w:r>
      <w:r w:rsidR="00730C1E">
        <w:rPr>
          <w:rFonts w:cs="Calibri"/>
          <w:sz w:val="28"/>
          <w:szCs w:val="28"/>
        </w:rPr>
        <w:t>шение её конкурентоспособности»:</w:t>
      </w:r>
    </w:p>
    <w:p w:rsidR="00282379" w:rsidRDefault="00730C1E" w:rsidP="00282379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 </w:t>
      </w:r>
      <w:r w:rsidRPr="00EA7EB4"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t xml:space="preserve">строках с наименованиями мероприятий «Предоставление </w:t>
      </w:r>
      <w:r>
        <w:rPr>
          <w:rFonts w:cs="Calibri"/>
          <w:sz w:val="28"/>
          <w:szCs w:val="28"/>
        </w:rPr>
        <w:lastRenderedPageBreak/>
        <w:t>организациям ВОС субсидий, расположенным на территории Удмуртской Республики</w:t>
      </w:r>
      <w:r w:rsidR="004A6CD7">
        <w:rPr>
          <w:rFonts w:cs="Calibri"/>
          <w:sz w:val="28"/>
          <w:szCs w:val="28"/>
        </w:rPr>
        <w:t xml:space="preserve"> (субсидии некоммерческим организациям (за исключением государственных (муниципальных) учреждений)</w:t>
      </w:r>
      <w:r w:rsidR="005B2E21">
        <w:rPr>
          <w:rFonts w:cs="Calibri"/>
          <w:sz w:val="28"/>
          <w:szCs w:val="28"/>
        </w:rPr>
        <w:t>»</w:t>
      </w:r>
      <w:r w:rsidR="00830AAA">
        <w:rPr>
          <w:rFonts w:cs="Calibri"/>
          <w:sz w:val="28"/>
          <w:szCs w:val="28"/>
        </w:rPr>
        <w:t>, «</w:t>
      </w:r>
      <w:r w:rsidR="003244FA">
        <w:rPr>
          <w:sz w:val="28"/>
          <w:szCs w:val="28"/>
        </w:rPr>
        <w:t>П</w:t>
      </w:r>
      <w:r w:rsidR="003244FA" w:rsidRPr="00BA0683">
        <w:rPr>
          <w:sz w:val="28"/>
          <w:szCs w:val="28"/>
        </w:rPr>
        <w:t>редоставлени</w:t>
      </w:r>
      <w:r w:rsidR="003244FA">
        <w:rPr>
          <w:sz w:val="28"/>
          <w:szCs w:val="28"/>
        </w:rPr>
        <w:t>е</w:t>
      </w:r>
      <w:r w:rsidR="003244FA" w:rsidRPr="00BA0683">
        <w:rPr>
          <w:sz w:val="28"/>
          <w:szCs w:val="28"/>
        </w:rPr>
        <w:t xml:space="preserve"> государственной услуги «Предоставление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Интернет, газом промышленным</w:t>
      </w:r>
      <w:r w:rsidR="003244FA">
        <w:rPr>
          <w:sz w:val="28"/>
          <w:szCs w:val="28"/>
        </w:rPr>
        <w:t>», «П</w:t>
      </w:r>
      <w:r w:rsidR="003244FA" w:rsidRPr="00BA0683">
        <w:rPr>
          <w:sz w:val="28"/>
          <w:szCs w:val="28"/>
        </w:rPr>
        <w:t>редоставлени</w:t>
      </w:r>
      <w:r w:rsidR="003244FA">
        <w:rPr>
          <w:sz w:val="28"/>
          <w:szCs w:val="28"/>
        </w:rPr>
        <w:t>е</w:t>
      </w:r>
      <w:r w:rsidR="003244FA" w:rsidRPr="00BA0683">
        <w:rPr>
          <w:sz w:val="28"/>
          <w:szCs w:val="28"/>
        </w:rPr>
        <w:t xml:space="preserve"> государственной услуг</w:t>
      </w:r>
      <w:r w:rsidR="007B72AF">
        <w:rPr>
          <w:sz w:val="28"/>
          <w:szCs w:val="28"/>
        </w:rPr>
        <w:t>и</w:t>
      </w:r>
      <w:r w:rsidR="003244FA" w:rsidRPr="00BA0683">
        <w:rPr>
          <w:sz w:val="28"/>
          <w:szCs w:val="28"/>
        </w:rPr>
        <w:t xml:space="preserve"> «Предоставление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н</w:t>
      </w:r>
      <w:r w:rsidR="003244FA">
        <w:rPr>
          <w:sz w:val="28"/>
          <w:szCs w:val="28"/>
        </w:rPr>
        <w:t>а приобретение основных средств»</w:t>
      </w:r>
      <w:r w:rsidR="00830AAA">
        <w:rPr>
          <w:rFonts w:cs="Calibri"/>
          <w:sz w:val="28"/>
          <w:szCs w:val="28"/>
        </w:rPr>
        <w:t xml:space="preserve"> содержимое столбца «Взаимосвязь с целевыми показателями (индикаторами)» изложить в следующей редакции:</w:t>
      </w:r>
    </w:p>
    <w:p w:rsidR="00830AAA" w:rsidRDefault="00830AAA" w:rsidP="00282379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«15.02.1</w:t>
      </w:r>
    </w:p>
    <w:p w:rsidR="00F55180" w:rsidRDefault="00830AAA" w:rsidP="00282379">
      <w:pPr>
        <w:ind w:firstLine="709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>15.02.2</w:t>
      </w:r>
    </w:p>
    <w:p w:rsidR="00F55180" w:rsidRDefault="00F55180" w:rsidP="00282379">
      <w:pPr>
        <w:ind w:firstLine="709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>15.02.</w:t>
      </w:r>
      <w:r>
        <w:rPr>
          <w:rFonts w:cs="Calibri"/>
          <w:sz w:val="28"/>
          <w:szCs w:val="28"/>
          <w:lang w:val="en-US"/>
        </w:rPr>
        <w:t>3</w:t>
      </w:r>
    </w:p>
    <w:p w:rsidR="00830AAA" w:rsidRDefault="00F55180" w:rsidP="00282379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15.02.</w:t>
      </w:r>
      <w:r>
        <w:rPr>
          <w:rFonts w:cs="Calibri"/>
          <w:sz w:val="28"/>
          <w:szCs w:val="28"/>
          <w:lang w:val="en-US"/>
        </w:rPr>
        <w:t>4</w:t>
      </w:r>
      <w:r w:rsidR="00830AAA">
        <w:rPr>
          <w:rFonts w:cs="Calibri"/>
          <w:sz w:val="28"/>
          <w:szCs w:val="28"/>
        </w:rPr>
        <w:t>»;</w:t>
      </w:r>
    </w:p>
    <w:p w:rsidR="00730C1E" w:rsidRDefault="00730C1E" w:rsidP="00282379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б) наименование мероприятия </w:t>
      </w:r>
      <w:r w:rsidR="005B2E21">
        <w:rPr>
          <w:rFonts w:cs="Calibri"/>
          <w:sz w:val="28"/>
          <w:szCs w:val="28"/>
        </w:rPr>
        <w:t>«Предоставление организациям ВОС субсидий, расположенным на территории Удмуртской Республики (субсидии некоммерческим организациям (за исключением государственных (муниципальных) учреждений)» изложить в следующей редакции:</w:t>
      </w:r>
    </w:p>
    <w:p w:rsidR="005B2E21" w:rsidRDefault="005B2E21" w:rsidP="00282379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«Предоставление организациям ВОС, расположенным на территории Удмуртской Республики, субсидий (субсидии некоммерческим организациям (за исключением государственных (муниципальных) учреждений))».</w:t>
      </w:r>
    </w:p>
    <w:p w:rsidR="00282379" w:rsidRPr="00EA7EB4" w:rsidRDefault="00282379" w:rsidP="00282379">
      <w:pPr>
        <w:ind w:firstLine="709"/>
        <w:jc w:val="both"/>
        <w:rPr>
          <w:rFonts w:cs="Calibri"/>
          <w:sz w:val="28"/>
          <w:szCs w:val="28"/>
        </w:rPr>
      </w:pPr>
    </w:p>
    <w:p w:rsidR="00021E07" w:rsidRPr="00EA7EB4" w:rsidRDefault="00021E07" w:rsidP="00021E07">
      <w:pPr>
        <w:jc w:val="both"/>
        <w:rPr>
          <w:color w:val="000000"/>
          <w:sz w:val="28"/>
          <w:szCs w:val="28"/>
        </w:rPr>
      </w:pPr>
      <w:r w:rsidRPr="00EA7EB4">
        <w:rPr>
          <w:color w:val="000000"/>
          <w:sz w:val="28"/>
          <w:szCs w:val="28"/>
        </w:rPr>
        <w:t>Исполняющий обязанности</w:t>
      </w:r>
    </w:p>
    <w:p w:rsidR="00021E07" w:rsidRPr="00EA7EB4" w:rsidRDefault="00021E07" w:rsidP="00021E07">
      <w:pPr>
        <w:jc w:val="both"/>
        <w:rPr>
          <w:color w:val="000000"/>
          <w:sz w:val="28"/>
          <w:szCs w:val="28"/>
        </w:rPr>
      </w:pPr>
      <w:r w:rsidRPr="00EA7EB4">
        <w:rPr>
          <w:color w:val="000000"/>
          <w:sz w:val="28"/>
          <w:szCs w:val="28"/>
        </w:rPr>
        <w:t>Председателя Правительства</w:t>
      </w:r>
    </w:p>
    <w:p w:rsidR="00021E07" w:rsidRPr="00EA7EB4" w:rsidRDefault="00021E07" w:rsidP="00021E07">
      <w:pPr>
        <w:jc w:val="both"/>
        <w:rPr>
          <w:color w:val="000000"/>
          <w:sz w:val="28"/>
          <w:szCs w:val="28"/>
        </w:rPr>
      </w:pPr>
      <w:r w:rsidRPr="00EA7EB4">
        <w:rPr>
          <w:color w:val="000000"/>
          <w:sz w:val="28"/>
          <w:szCs w:val="28"/>
        </w:rPr>
        <w:t>Удмуртской Республики</w:t>
      </w:r>
      <w:r w:rsidRPr="00EA7EB4">
        <w:rPr>
          <w:color w:val="000000"/>
          <w:sz w:val="28"/>
          <w:szCs w:val="28"/>
        </w:rPr>
        <w:tab/>
      </w:r>
      <w:r w:rsidRPr="00EA7EB4">
        <w:rPr>
          <w:color w:val="000000"/>
          <w:sz w:val="28"/>
          <w:szCs w:val="28"/>
        </w:rPr>
        <w:tab/>
      </w:r>
      <w:r w:rsidRPr="00EA7EB4">
        <w:rPr>
          <w:color w:val="000000"/>
          <w:sz w:val="28"/>
          <w:szCs w:val="28"/>
        </w:rPr>
        <w:tab/>
      </w:r>
      <w:r w:rsidRPr="00EA7EB4">
        <w:rPr>
          <w:color w:val="000000"/>
          <w:sz w:val="28"/>
          <w:szCs w:val="28"/>
        </w:rPr>
        <w:tab/>
      </w:r>
      <w:r w:rsidRPr="00EA7EB4">
        <w:rPr>
          <w:color w:val="000000"/>
          <w:sz w:val="28"/>
          <w:szCs w:val="28"/>
        </w:rPr>
        <w:tab/>
      </w:r>
      <w:r w:rsidRPr="00EA7EB4">
        <w:rPr>
          <w:color w:val="000000"/>
          <w:sz w:val="28"/>
          <w:szCs w:val="28"/>
        </w:rPr>
        <w:tab/>
      </w:r>
      <w:r w:rsidR="00961BB3" w:rsidRPr="00EA7EB4">
        <w:rPr>
          <w:color w:val="000000"/>
          <w:sz w:val="28"/>
          <w:szCs w:val="28"/>
        </w:rPr>
        <w:t xml:space="preserve"> </w:t>
      </w:r>
      <w:r w:rsidRPr="00EA7EB4">
        <w:rPr>
          <w:color w:val="000000"/>
          <w:sz w:val="28"/>
          <w:szCs w:val="28"/>
        </w:rPr>
        <w:t>В.А. Савельев</w:t>
      </w:r>
    </w:p>
    <w:p w:rsidR="006670F2" w:rsidRPr="00282379" w:rsidRDefault="006670F2" w:rsidP="00E90DC4">
      <w:pPr>
        <w:jc w:val="both"/>
        <w:rPr>
          <w:sz w:val="28"/>
          <w:szCs w:val="28"/>
        </w:rPr>
      </w:pPr>
    </w:p>
    <w:p w:rsidR="00E90DC4" w:rsidRPr="00EA7EB4" w:rsidRDefault="00E90DC4" w:rsidP="00E90DC4">
      <w:pPr>
        <w:jc w:val="both"/>
        <w:rPr>
          <w:sz w:val="28"/>
          <w:szCs w:val="28"/>
        </w:rPr>
      </w:pPr>
      <w:r w:rsidRPr="00EA7EB4">
        <w:rPr>
          <w:sz w:val="28"/>
          <w:szCs w:val="28"/>
        </w:rPr>
        <w:t>Проект постановления вносит:</w:t>
      </w:r>
    </w:p>
    <w:p w:rsidR="004B0C65" w:rsidRPr="00EA7EB4" w:rsidRDefault="004B0C65" w:rsidP="005B4717">
      <w:pPr>
        <w:jc w:val="both"/>
        <w:rPr>
          <w:sz w:val="28"/>
          <w:szCs w:val="28"/>
        </w:rPr>
      </w:pPr>
      <w:r w:rsidRPr="00EA7EB4">
        <w:rPr>
          <w:color w:val="000000"/>
          <w:sz w:val="28"/>
          <w:szCs w:val="28"/>
        </w:rPr>
        <w:t>исполняющий обязанности</w:t>
      </w:r>
    </w:p>
    <w:p w:rsidR="001D7361" w:rsidRPr="00EA7EB4" w:rsidRDefault="00021E07" w:rsidP="005B4717">
      <w:pPr>
        <w:jc w:val="both"/>
        <w:rPr>
          <w:sz w:val="28"/>
          <w:szCs w:val="28"/>
        </w:rPr>
      </w:pPr>
      <w:r w:rsidRPr="00EA7EB4">
        <w:rPr>
          <w:sz w:val="28"/>
          <w:szCs w:val="28"/>
        </w:rPr>
        <w:t>м</w:t>
      </w:r>
      <w:r w:rsidR="00704A44" w:rsidRPr="00EA7EB4">
        <w:rPr>
          <w:sz w:val="28"/>
          <w:szCs w:val="28"/>
        </w:rPr>
        <w:t>инистр</w:t>
      </w:r>
      <w:r w:rsidRPr="00EA7EB4">
        <w:rPr>
          <w:sz w:val="28"/>
          <w:szCs w:val="28"/>
        </w:rPr>
        <w:t>а</w:t>
      </w:r>
      <w:r w:rsidR="001D7361" w:rsidRPr="00EA7EB4">
        <w:rPr>
          <w:sz w:val="28"/>
          <w:szCs w:val="28"/>
        </w:rPr>
        <w:t xml:space="preserve"> </w:t>
      </w:r>
      <w:r w:rsidR="00E90DC4" w:rsidRPr="00EA7EB4">
        <w:rPr>
          <w:sz w:val="28"/>
          <w:szCs w:val="28"/>
        </w:rPr>
        <w:t>промышленности</w:t>
      </w:r>
    </w:p>
    <w:p w:rsidR="00E90DC4" w:rsidRPr="00EA7EB4" w:rsidRDefault="005B4717" w:rsidP="001D7361">
      <w:pPr>
        <w:jc w:val="both"/>
        <w:rPr>
          <w:sz w:val="28"/>
          <w:szCs w:val="28"/>
        </w:rPr>
      </w:pPr>
      <w:r w:rsidRPr="00EA7EB4">
        <w:rPr>
          <w:sz w:val="28"/>
          <w:szCs w:val="28"/>
        </w:rPr>
        <w:t>и</w:t>
      </w:r>
      <w:r w:rsidR="00AD6ABE" w:rsidRPr="00EA7EB4">
        <w:rPr>
          <w:sz w:val="28"/>
          <w:szCs w:val="28"/>
        </w:rPr>
        <w:t xml:space="preserve"> энергетики</w:t>
      </w:r>
      <w:r w:rsidR="00961BB3" w:rsidRPr="00EA7EB4">
        <w:rPr>
          <w:sz w:val="28"/>
          <w:szCs w:val="28"/>
        </w:rPr>
        <w:t xml:space="preserve"> </w:t>
      </w:r>
      <w:r w:rsidR="00E90DC4" w:rsidRPr="00EA7EB4">
        <w:rPr>
          <w:sz w:val="28"/>
          <w:szCs w:val="28"/>
        </w:rPr>
        <w:t>Удмуртской Респу</w:t>
      </w:r>
      <w:r w:rsidR="001D7361" w:rsidRPr="00EA7EB4">
        <w:rPr>
          <w:sz w:val="28"/>
          <w:szCs w:val="28"/>
        </w:rPr>
        <w:t>блики</w:t>
      </w:r>
      <w:r w:rsidR="001D7361" w:rsidRPr="00EA7EB4">
        <w:rPr>
          <w:sz w:val="28"/>
          <w:szCs w:val="28"/>
        </w:rPr>
        <w:tab/>
      </w:r>
      <w:r w:rsidR="001D7361" w:rsidRPr="00EA7EB4">
        <w:rPr>
          <w:sz w:val="28"/>
          <w:szCs w:val="28"/>
        </w:rPr>
        <w:tab/>
      </w:r>
      <w:r w:rsidR="001D7361" w:rsidRPr="00EA7EB4">
        <w:rPr>
          <w:sz w:val="28"/>
          <w:szCs w:val="28"/>
        </w:rPr>
        <w:tab/>
      </w:r>
      <w:r w:rsidR="001D7361" w:rsidRPr="00EA7EB4">
        <w:rPr>
          <w:sz w:val="28"/>
          <w:szCs w:val="28"/>
        </w:rPr>
        <w:tab/>
      </w:r>
      <w:r w:rsidR="00961BB3" w:rsidRPr="00EA7EB4">
        <w:rPr>
          <w:sz w:val="28"/>
          <w:szCs w:val="28"/>
        </w:rPr>
        <w:t xml:space="preserve"> </w:t>
      </w:r>
      <w:r w:rsidR="00704A44" w:rsidRPr="00EA7EB4">
        <w:rPr>
          <w:sz w:val="28"/>
          <w:szCs w:val="28"/>
        </w:rPr>
        <w:t>О.В. Радионов</w:t>
      </w:r>
    </w:p>
    <w:p w:rsidR="006670F2" w:rsidRPr="00282379" w:rsidRDefault="006670F2" w:rsidP="00E90DC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C75C3" w:rsidRPr="008F572A" w:rsidRDefault="00BA237F" w:rsidP="00BA237F">
      <w:pPr>
        <w:pStyle w:val="2"/>
        <w:tabs>
          <w:tab w:val="left" w:pos="0"/>
        </w:tabs>
        <w:jc w:val="both"/>
        <w:rPr>
          <w:color w:val="000000"/>
          <w:sz w:val="24"/>
          <w:szCs w:val="24"/>
        </w:rPr>
      </w:pPr>
      <w:r w:rsidRPr="00EA7EB4">
        <w:rPr>
          <w:sz w:val="24"/>
          <w:szCs w:val="24"/>
        </w:rPr>
        <w:t>Разослать: Минфин УР, Минэкономики УР, Минпромэнерго УР, Управление Минюста РФ по УР</w:t>
      </w:r>
      <w:r w:rsidR="00DD6C46" w:rsidRPr="00EA7EB4">
        <w:rPr>
          <w:sz w:val="24"/>
          <w:szCs w:val="24"/>
        </w:rPr>
        <w:t xml:space="preserve">, </w:t>
      </w:r>
      <w:r w:rsidRPr="00EA7EB4">
        <w:rPr>
          <w:sz w:val="24"/>
          <w:szCs w:val="24"/>
        </w:rPr>
        <w:t>Г</w:t>
      </w:r>
      <w:r w:rsidR="00DD6C46" w:rsidRPr="00EA7EB4">
        <w:rPr>
          <w:sz w:val="24"/>
          <w:szCs w:val="24"/>
        </w:rPr>
        <w:t>осударственный Совет УР</w:t>
      </w:r>
      <w:r w:rsidRPr="00EA7EB4">
        <w:rPr>
          <w:sz w:val="24"/>
          <w:szCs w:val="24"/>
        </w:rPr>
        <w:t>, ГФИ</w:t>
      </w:r>
      <w:r w:rsidR="00DD6C46" w:rsidRPr="00EA7EB4">
        <w:rPr>
          <w:sz w:val="24"/>
          <w:szCs w:val="24"/>
        </w:rPr>
        <w:t xml:space="preserve"> по УР</w:t>
      </w:r>
      <w:r w:rsidRPr="00EA7EB4">
        <w:rPr>
          <w:sz w:val="24"/>
          <w:szCs w:val="24"/>
        </w:rPr>
        <w:t>, Прокуратура УР</w:t>
      </w:r>
      <w:r w:rsidR="00DD6C46" w:rsidRPr="00EA7EB4">
        <w:rPr>
          <w:sz w:val="24"/>
          <w:szCs w:val="24"/>
        </w:rPr>
        <w:t xml:space="preserve">, СПС, </w:t>
      </w:r>
      <w:r w:rsidR="00DD6C46" w:rsidRPr="00EA7EB4">
        <w:rPr>
          <w:sz w:val="24"/>
          <w:szCs w:val="24"/>
          <w:lang w:val="en-US"/>
        </w:rPr>
        <w:t>WEB</w:t>
      </w:r>
      <w:r w:rsidR="00DD6C46" w:rsidRPr="00EA7EB4">
        <w:rPr>
          <w:sz w:val="24"/>
          <w:szCs w:val="24"/>
        </w:rPr>
        <w:t>-сайт</w:t>
      </w:r>
      <w:r w:rsidRPr="00EA7EB4">
        <w:rPr>
          <w:sz w:val="24"/>
          <w:szCs w:val="24"/>
        </w:rPr>
        <w:t>, СМИ.</w:t>
      </w:r>
    </w:p>
    <w:sectPr w:rsidR="004C75C3" w:rsidRPr="008F572A" w:rsidSect="00722AEE">
      <w:headerReference w:type="default" r:id="rId8"/>
      <w:pgSz w:w="11909" w:h="16834" w:code="9"/>
      <w:pgMar w:top="1134" w:right="851" w:bottom="1134" w:left="1134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10" w:rsidRDefault="00142B10" w:rsidP="00797A5A">
      <w:r>
        <w:separator/>
      </w:r>
    </w:p>
  </w:endnote>
  <w:endnote w:type="continuationSeparator" w:id="0">
    <w:p w:rsidR="00142B10" w:rsidRDefault="00142B10" w:rsidP="0079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10" w:rsidRDefault="00142B10" w:rsidP="00797A5A">
      <w:r>
        <w:separator/>
      </w:r>
    </w:p>
  </w:footnote>
  <w:footnote w:type="continuationSeparator" w:id="0">
    <w:p w:rsidR="00142B10" w:rsidRDefault="00142B10" w:rsidP="00797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22" w:rsidRDefault="00790B88">
    <w:pPr>
      <w:pStyle w:val="a7"/>
      <w:jc w:val="center"/>
    </w:pPr>
    <w:fldSimple w:instr="PAGE   \* MERGEFORMAT">
      <w:r w:rsidR="00F55180">
        <w:rPr>
          <w:noProof/>
        </w:rPr>
        <w:t>4</w:t>
      </w:r>
    </w:fldSimple>
  </w:p>
  <w:p w:rsidR="00BE0422" w:rsidRDefault="00BE04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C7E"/>
    <w:multiLevelType w:val="hybridMultilevel"/>
    <w:tmpl w:val="8460E9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DC4"/>
    <w:rsid w:val="00001C59"/>
    <w:rsid w:val="00002734"/>
    <w:rsid w:val="00004710"/>
    <w:rsid w:val="00005711"/>
    <w:rsid w:val="000057A7"/>
    <w:rsid w:val="0001449D"/>
    <w:rsid w:val="000145ED"/>
    <w:rsid w:val="000149B7"/>
    <w:rsid w:val="00016932"/>
    <w:rsid w:val="00016FF8"/>
    <w:rsid w:val="00017470"/>
    <w:rsid w:val="000176E5"/>
    <w:rsid w:val="00020555"/>
    <w:rsid w:val="00021E07"/>
    <w:rsid w:val="000235BE"/>
    <w:rsid w:val="0003254E"/>
    <w:rsid w:val="00033715"/>
    <w:rsid w:val="00041544"/>
    <w:rsid w:val="00042A9B"/>
    <w:rsid w:val="000451CF"/>
    <w:rsid w:val="000463C3"/>
    <w:rsid w:val="00047F43"/>
    <w:rsid w:val="00052913"/>
    <w:rsid w:val="000529BE"/>
    <w:rsid w:val="00055C8E"/>
    <w:rsid w:val="00057CD6"/>
    <w:rsid w:val="00062D67"/>
    <w:rsid w:val="00063679"/>
    <w:rsid w:val="00065684"/>
    <w:rsid w:val="0006752B"/>
    <w:rsid w:val="0007157B"/>
    <w:rsid w:val="00071F81"/>
    <w:rsid w:val="00072074"/>
    <w:rsid w:val="00073EB0"/>
    <w:rsid w:val="0007449C"/>
    <w:rsid w:val="000745D3"/>
    <w:rsid w:val="0007513F"/>
    <w:rsid w:val="000757A0"/>
    <w:rsid w:val="00076C66"/>
    <w:rsid w:val="0008097A"/>
    <w:rsid w:val="00081187"/>
    <w:rsid w:val="0008147A"/>
    <w:rsid w:val="00086A96"/>
    <w:rsid w:val="000871AB"/>
    <w:rsid w:val="000904E6"/>
    <w:rsid w:val="000931FD"/>
    <w:rsid w:val="00093930"/>
    <w:rsid w:val="00093EDB"/>
    <w:rsid w:val="0009407E"/>
    <w:rsid w:val="00097558"/>
    <w:rsid w:val="000A1585"/>
    <w:rsid w:val="000A1FCD"/>
    <w:rsid w:val="000A3EC5"/>
    <w:rsid w:val="000A4112"/>
    <w:rsid w:val="000A41AF"/>
    <w:rsid w:val="000A5EA8"/>
    <w:rsid w:val="000B01C6"/>
    <w:rsid w:val="000B05FF"/>
    <w:rsid w:val="000B556F"/>
    <w:rsid w:val="000B5C36"/>
    <w:rsid w:val="000B5C89"/>
    <w:rsid w:val="000B6F0F"/>
    <w:rsid w:val="000C0BEA"/>
    <w:rsid w:val="000C2068"/>
    <w:rsid w:val="000C2150"/>
    <w:rsid w:val="000C2A71"/>
    <w:rsid w:val="000C5785"/>
    <w:rsid w:val="000C5AC0"/>
    <w:rsid w:val="000C710D"/>
    <w:rsid w:val="000C7E0F"/>
    <w:rsid w:val="000D0834"/>
    <w:rsid w:val="000D1076"/>
    <w:rsid w:val="000D158A"/>
    <w:rsid w:val="000D2782"/>
    <w:rsid w:val="000D4356"/>
    <w:rsid w:val="000D61D0"/>
    <w:rsid w:val="000D775E"/>
    <w:rsid w:val="000E322C"/>
    <w:rsid w:val="000E7F67"/>
    <w:rsid w:val="000F01D0"/>
    <w:rsid w:val="000F1059"/>
    <w:rsid w:val="000F1A1D"/>
    <w:rsid w:val="000F2563"/>
    <w:rsid w:val="000F6FAF"/>
    <w:rsid w:val="000F7333"/>
    <w:rsid w:val="0010049E"/>
    <w:rsid w:val="00102C9B"/>
    <w:rsid w:val="00103A42"/>
    <w:rsid w:val="00104426"/>
    <w:rsid w:val="00104FEE"/>
    <w:rsid w:val="0010506F"/>
    <w:rsid w:val="0010544C"/>
    <w:rsid w:val="00107AF5"/>
    <w:rsid w:val="00112BE9"/>
    <w:rsid w:val="00114AF1"/>
    <w:rsid w:val="00116092"/>
    <w:rsid w:val="001207C8"/>
    <w:rsid w:val="001219A8"/>
    <w:rsid w:val="0012239F"/>
    <w:rsid w:val="00130871"/>
    <w:rsid w:val="001327BB"/>
    <w:rsid w:val="00133DE5"/>
    <w:rsid w:val="00134319"/>
    <w:rsid w:val="00134E3F"/>
    <w:rsid w:val="001378CB"/>
    <w:rsid w:val="0014182D"/>
    <w:rsid w:val="001420DD"/>
    <w:rsid w:val="00142765"/>
    <w:rsid w:val="00142B10"/>
    <w:rsid w:val="00143F13"/>
    <w:rsid w:val="00144E9F"/>
    <w:rsid w:val="00147A81"/>
    <w:rsid w:val="00153231"/>
    <w:rsid w:val="00160AB5"/>
    <w:rsid w:val="00165615"/>
    <w:rsid w:val="00173169"/>
    <w:rsid w:val="00174159"/>
    <w:rsid w:val="00174B38"/>
    <w:rsid w:val="001754CE"/>
    <w:rsid w:val="00176D97"/>
    <w:rsid w:val="00183377"/>
    <w:rsid w:val="001862A8"/>
    <w:rsid w:val="00186E87"/>
    <w:rsid w:val="0018718A"/>
    <w:rsid w:val="00190166"/>
    <w:rsid w:val="001A2DFD"/>
    <w:rsid w:val="001A64EE"/>
    <w:rsid w:val="001A68CE"/>
    <w:rsid w:val="001A6FF6"/>
    <w:rsid w:val="001B0672"/>
    <w:rsid w:val="001B1C2F"/>
    <w:rsid w:val="001B25EA"/>
    <w:rsid w:val="001B2A13"/>
    <w:rsid w:val="001B5E62"/>
    <w:rsid w:val="001C0107"/>
    <w:rsid w:val="001C5BDA"/>
    <w:rsid w:val="001C73DC"/>
    <w:rsid w:val="001D1356"/>
    <w:rsid w:val="001D2F89"/>
    <w:rsid w:val="001D3362"/>
    <w:rsid w:val="001D5591"/>
    <w:rsid w:val="001D7361"/>
    <w:rsid w:val="001E2189"/>
    <w:rsid w:val="001E3DED"/>
    <w:rsid w:val="001E698B"/>
    <w:rsid w:val="001E7B55"/>
    <w:rsid w:val="001F1738"/>
    <w:rsid w:val="001F5040"/>
    <w:rsid w:val="001F5B25"/>
    <w:rsid w:val="001F733B"/>
    <w:rsid w:val="002007C6"/>
    <w:rsid w:val="00205F71"/>
    <w:rsid w:val="00206D9A"/>
    <w:rsid w:val="00207EE2"/>
    <w:rsid w:val="00212AA1"/>
    <w:rsid w:val="00213B58"/>
    <w:rsid w:val="00214796"/>
    <w:rsid w:val="00214C48"/>
    <w:rsid w:val="00214D87"/>
    <w:rsid w:val="00216106"/>
    <w:rsid w:val="00223114"/>
    <w:rsid w:val="00224CD2"/>
    <w:rsid w:val="002253C6"/>
    <w:rsid w:val="0022638E"/>
    <w:rsid w:val="00226B33"/>
    <w:rsid w:val="00231F1E"/>
    <w:rsid w:val="002415CE"/>
    <w:rsid w:val="00241AF5"/>
    <w:rsid w:val="00243E6A"/>
    <w:rsid w:val="00243EDC"/>
    <w:rsid w:val="00244276"/>
    <w:rsid w:val="002453B6"/>
    <w:rsid w:val="00246322"/>
    <w:rsid w:val="0024750B"/>
    <w:rsid w:val="0024773D"/>
    <w:rsid w:val="00253DE4"/>
    <w:rsid w:val="0025652C"/>
    <w:rsid w:val="002576DA"/>
    <w:rsid w:val="00260299"/>
    <w:rsid w:val="00261A33"/>
    <w:rsid w:val="002629E7"/>
    <w:rsid w:val="002633C9"/>
    <w:rsid w:val="00266776"/>
    <w:rsid w:val="00266E5F"/>
    <w:rsid w:val="002740BF"/>
    <w:rsid w:val="00274912"/>
    <w:rsid w:val="00280190"/>
    <w:rsid w:val="002803AF"/>
    <w:rsid w:val="00282379"/>
    <w:rsid w:val="00283016"/>
    <w:rsid w:val="0028484D"/>
    <w:rsid w:val="00287EC3"/>
    <w:rsid w:val="00291188"/>
    <w:rsid w:val="00296522"/>
    <w:rsid w:val="002A22ED"/>
    <w:rsid w:val="002A24F0"/>
    <w:rsid w:val="002A3469"/>
    <w:rsid w:val="002A5AF0"/>
    <w:rsid w:val="002A7B5A"/>
    <w:rsid w:val="002B3C2F"/>
    <w:rsid w:val="002B5F1F"/>
    <w:rsid w:val="002B690C"/>
    <w:rsid w:val="002C62A0"/>
    <w:rsid w:val="002C78BC"/>
    <w:rsid w:val="002D107F"/>
    <w:rsid w:val="002D1B4E"/>
    <w:rsid w:val="002D346B"/>
    <w:rsid w:val="002D3A4F"/>
    <w:rsid w:val="002D58E4"/>
    <w:rsid w:val="002D6EF8"/>
    <w:rsid w:val="002D7789"/>
    <w:rsid w:val="002E20C0"/>
    <w:rsid w:val="002E2891"/>
    <w:rsid w:val="002E5804"/>
    <w:rsid w:val="002E6CE6"/>
    <w:rsid w:val="002F7AE2"/>
    <w:rsid w:val="0030163B"/>
    <w:rsid w:val="00301974"/>
    <w:rsid w:val="00301BA0"/>
    <w:rsid w:val="00302698"/>
    <w:rsid w:val="00305566"/>
    <w:rsid w:val="003075A6"/>
    <w:rsid w:val="00311BCD"/>
    <w:rsid w:val="003130AE"/>
    <w:rsid w:val="00313215"/>
    <w:rsid w:val="00315AC7"/>
    <w:rsid w:val="003178A9"/>
    <w:rsid w:val="00321E6C"/>
    <w:rsid w:val="003235AF"/>
    <w:rsid w:val="003244FA"/>
    <w:rsid w:val="00325697"/>
    <w:rsid w:val="00327501"/>
    <w:rsid w:val="00330196"/>
    <w:rsid w:val="003319CA"/>
    <w:rsid w:val="00332E92"/>
    <w:rsid w:val="003346A8"/>
    <w:rsid w:val="003371A4"/>
    <w:rsid w:val="0034318C"/>
    <w:rsid w:val="0034487D"/>
    <w:rsid w:val="00344F2C"/>
    <w:rsid w:val="00346196"/>
    <w:rsid w:val="00350AC5"/>
    <w:rsid w:val="00351C03"/>
    <w:rsid w:val="003549AF"/>
    <w:rsid w:val="003613AB"/>
    <w:rsid w:val="00362043"/>
    <w:rsid w:val="00363292"/>
    <w:rsid w:val="00366413"/>
    <w:rsid w:val="003704FB"/>
    <w:rsid w:val="00370B93"/>
    <w:rsid w:val="00372D34"/>
    <w:rsid w:val="00375668"/>
    <w:rsid w:val="0038065F"/>
    <w:rsid w:val="003837C0"/>
    <w:rsid w:val="0038534E"/>
    <w:rsid w:val="0038647B"/>
    <w:rsid w:val="00387AF9"/>
    <w:rsid w:val="0039029D"/>
    <w:rsid w:val="003908B5"/>
    <w:rsid w:val="003916D9"/>
    <w:rsid w:val="003929AA"/>
    <w:rsid w:val="00393245"/>
    <w:rsid w:val="0039341F"/>
    <w:rsid w:val="00396839"/>
    <w:rsid w:val="003A04A9"/>
    <w:rsid w:val="003A07F8"/>
    <w:rsid w:val="003A2992"/>
    <w:rsid w:val="003A2B91"/>
    <w:rsid w:val="003A2EFF"/>
    <w:rsid w:val="003A3DDC"/>
    <w:rsid w:val="003A441F"/>
    <w:rsid w:val="003A52A5"/>
    <w:rsid w:val="003A69AB"/>
    <w:rsid w:val="003A716F"/>
    <w:rsid w:val="003B3CE3"/>
    <w:rsid w:val="003B78AE"/>
    <w:rsid w:val="003C1D70"/>
    <w:rsid w:val="003C2468"/>
    <w:rsid w:val="003C6346"/>
    <w:rsid w:val="003C7D8F"/>
    <w:rsid w:val="003D0829"/>
    <w:rsid w:val="003D6F3D"/>
    <w:rsid w:val="003E0C44"/>
    <w:rsid w:val="003E2E90"/>
    <w:rsid w:val="003E3CAC"/>
    <w:rsid w:val="003E731D"/>
    <w:rsid w:val="003F32C8"/>
    <w:rsid w:val="003F4560"/>
    <w:rsid w:val="003F5F75"/>
    <w:rsid w:val="003F6117"/>
    <w:rsid w:val="003F7161"/>
    <w:rsid w:val="00403E59"/>
    <w:rsid w:val="00405329"/>
    <w:rsid w:val="00405EAD"/>
    <w:rsid w:val="004118DD"/>
    <w:rsid w:val="00413608"/>
    <w:rsid w:val="00414406"/>
    <w:rsid w:val="004151ED"/>
    <w:rsid w:val="00420BC5"/>
    <w:rsid w:val="00423FC4"/>
    <w:rsid w:val="004251CA"/>
    <w:rsid w:val="004279DD"/>
    <w:rsid w:val="0043001B"/>
    <w:rsid w:val="0043393B"/>
    <w:rsid w:val="004366E9"/>
    <w:rsid w:val="00437034"/>
    <w:rsid w:val="00442307"/>
    <w:rsid w:val="004461A4"/>
    <w:rsid w:val="0044719F"/>
    <w:rsid w:val="00447AFD"/>
    <w:rsid w:val="0045087C"/>
    <w:rsid w:val="004513D7"/>
    <w:rsid w:val="00451CBD"/>
    <w:rsid w:val="004542B5"/>
    <w:rsid w:val="004548C8"/>
    <w:rsid w:val="00462320"/>
    <w:rsid w:val="004638F0"/>
    <w:rsid w:val="0046406B"/>
    <w:rsid w:val="00464DE5"/>
    <w:rsid w:val="00465FAF"/>
    <w:rsid w:val="0047010E"/>
    <w:rsid w:val="0047125C"/>
    <w:rsid w:val="00473419"/>
    <w:rsid w:val="00473E99"/>
    <w:rsid w:val="00475959"/>
    <w:rsid w:val="00480A88"/>
    <w:rsid w:val="00484DAB"/>
    <w:rsid w:val="00485565"/>
    <w:rsid w:val="00490130"/>
    <w:rsid w:val="00490718"/>
    <w:rsid w:val="00494134"/>
    <w:rsid w:val="00494E91"/>
    <w:rsid w:val="00495FC8"/>
    <w:rsid w:val="004972D3"/>
    <w:rsid w:val="004973AA"/>
    <w:rsid w:val="004A0B0F"/>
    <w:rsid w:val="004A23A1"/>
    <w:rsid w:val="004A244B"/>
    <w:rsid w:val="004A5A5D"/>
    <w:rsid w:val="004A6CD7"/>
    <w:rsid w:val="004B0C65"/>
    <w:rsid w:val="004B1DCE"/>
    <w:rsid w:val="004B3332"/>
    <w:rsid w:val="004C0739"/>
    <w:rsid w:val="004C380C"/>
    <w:rsid w:val="004C3A7E"/>
    <w:rsid w:val="004C3BC6"/>
    <w:rsid w:val="004C3ED0"/>
    <w:rsid w:val="004C43A7"/>
    <w:rsid w:val="004C57A0"/>
    <w:rsid w:val="004C5A9C"/>
    <w:rsid w:val="004C5F6F"/>
    <w:rsid w:val="004C64A5"/>
    <w:rsid w:val="004C75C3"/>
    <w:rsid w:val="004D177D"/>
    <w:rsid w:val="004D23C6"/>
    <w:rsid w:val="004D415D"/>
    <w:rsid w:val="004D77B6"/>
    <w:rsid w:val="004E0CBE"/>
    <w:rsid w:val="004E3C01"/>
    <w:rsid w:val="004E50BA"/>
    <w:rsid w:val="004E5569"/>
    <w:rsid w:val="004E69B6"/>
    <w:rsid w:val="004F027B"/>
    <w:rsid w:val="004F0B37"/>
    <w:rsid w:val="004F12A6"/>
    <w:rsid w:val="004F3204"/>
    <w:rsid w:val="004F6FE4"/>
    <w:rsid w:val="00501AA2"/>
    <w:rsid w:val="00502E95"/>
    <w:rsid w:val="00503D75"/>
    <w:rsid w:val="005051D6"/>
    <w:rsid w:val="00510C6A"/>
    <w:rsid w:val="00512BFA"/>
    <w:rsid w:val="00513681"/>
    <w:rsid w:val="00514182"/>
    <w:rsid w:val="00515FD2"/>
    <w:rsid w:val="00523080"/>
    <w:rsid w:val="00526290"/>
    <w:rsid w:val="00526ED8"/>
    <w:rsid w:val="00527597"/>
    <w:rsid w:val="005319D7"/>
    <w:rsid w:val="00534154"/>
    <w:rsid w:val="0053503D"/>
    <w:rsid w:val="00535056"/>
    <w:rsid w:val="005361AD"/>
    <w:rsid w:val="00537E36"/>
    <w:rsid w:val="00546424"/>
    <w:rsid w:val="00546C9B"/>
    <w:rsid w:val="00550A4F"/>
    <w:rsid w:val="00551E14"/>
    <w:rsid w:val="00553BDE"/>
    <w:rsid w:val="0055441B"/>
    <w:rsid w:val="0055507A"/>
    <w:rsid w:val="005610BF"/>
    <w:rsid w:val="005614F8"/>
    <w:rsid w:val="0056184E"/>
    <w:rsid w:val="00562E8E"/>
    <w:rsid w:val="0056726A"/>
    <w:rsid w:val="005732EE"/>
    <w:rsid w:val="00573AD2"/>
    <w:rsid w:val="00573C9B"/>
    <w:rsid w:val="00573D23"/>
    <w:rsid w:val="005743AA"/>
    <w:rsid w:val="005751BB"/>
    <w:rsid w:val="00576302"/>
    <w:rsid w:val="00577086"/>
    <w:rsid w:val="0057770D"/>
    <w:rsid w:val="00577D4D"/>
    <w:rsid w:val="005802D8"/>
    <w:rsid w:val="005810B9"/>
    <w:rsid w:val="00581D03"/>
    <w:rsid w:val="00583337"/>
    <w:rsid w:val="00583745"/>
    <w:rsid w:val="005864F5"/>
    <w:rsid w:val="005875E1"/>
    <w:rsid w:val="00587886"/>
    <w:rsid w:val="00590CEA"/>
    <w:rsid w:val="005915B8"/>
    <w:rsid w:val="00592BBA"/>
    <w:rsid w:val="00593D2C"/>
    <w:rsid w:val="00594FE5"/>
    <w:rsid w:val="00595884"/>
    <w:rsid w:val="005964C0"/>
    <w:rsid w:val="005A0708"/>
    <w:rsid w:val="005A0CF5"/>
    <w:rsid w:val="005A14CF"/>
    <w:rsid w:val="005A171B"/>
    <w:rsid w:val="005A2A84"/>
    <w:rsid w:val="005A4EF5"/>
    <w:rsid w:val="005A7EE5"/>
    <w:rsid w:val="005B040A"/>
    <w:rsid w:val="005B0BBD"/>
    <w:rsid w:val="005B1A8A"/>
    <w:rsid w:val="005B28BC"/>
    <w:rsid w:val="005B2D38"/>
    <w:rsid w:val="005B2E21"/>
    <w:rsid w:val="005B36FC"/>
    <w:rsid w:val="005B4717"/>
    <w:rsid w:val="005B50C6"/>
    <w:rsid w:val="005C039F"/>
    <w:rsid w:val="005C25B4"/>
    <w:rsid w:val="005C2BE0"/>
    <w:rsid w:val="005C4BD5"/>
    <w:rsid w:val="005C56B1"/>
    <w:rsid w:val="005C678F"/>
    <w:rsid w:val="005D116E"/>
    <w:rsid w:val="005D3DE4"/>
    <w:rsid w:val="005D5A5A"/>
    <w:rsid w:val="005D7103"/>
    <w:rsid w:val="005D7865"/>
    <w:rsid w:val="005E2178"/>
    <w:rsid w:val="005E2661"/>
    <w:rsid w:val="005E2834"/>
    <w:rsid w:val="005E299D"/>
    <w:rsid w:val="005E5183"/>
    <w:rsid w:val="005E5722"/>
    <w:rsid w:val="005E75C1"/>
    <w:rsid w:val="005F0232"/>
    <w:rsid w:val="005F3A25"/>
    <w:rsid w:val="005F560E"/>
    <w:rsid w:val="005F5CF6"/>
    <w:rsid w:val="005F5DE1"/>
    <w:rsid w:val="005F5F48"/>
    <w:rsid w:val="00601E85"/>
    <w:rsid w:val="00603130"/>
    <w:rsid w:val="006046E9"/>
    <w:rsid w:val="00605D04"/>
    <w:rsid w:val="0061110E"/>
    <w:rsid w:val="006141B7"/>
    <w:rsid w:val="00616BBA"/>
    <w:rsid w:val="00617584"/>
    <w:rsid w:val="0062034D"/>
    <w:rsid w:val="0062257D"/>
    <w:rsid w:val="00622E83"/>
    <w:rsid w:val="0062449C"/>
    <w:rsid w:val="0062739A"/>
    <w:rsid w:val="00627606"/>
    <w:rsid w:val="0063182B"/>
    <w:rsid w:val="006338F9"/>
    <w:rsid w:val="00634871"/>
    <w:rsid w:val="00636507"/>
    <w:rsid w:val="0063766E"/>
    <w:rsid w:val="0063773A"/>
    <w:rsid w:val="00645EDC"/>
    <w:rsid w:val="0064765B"/>
    <w:rsid w:val="0065184A"/>
    <w:rsid w:val="00652998"/>
    <w:rsid w:val="006555A7"/>
    <w:rsid w:val="00657BCC"/>
    <w:rsid w:val="0066131E"/>
    <w:rsid w:val="00661727"/>
    <w:rsid w:val="00662746"/>
    <w:rsid w:val="00663D1F"/>
    <w:rsid w:val="0066563D"/>
    <w:rsid w:val="0066605F"/>
    <w:rsid w:val="006670F2"/>
    <w:rsid w:val="0066734A"/>
    <w:rsid w:val="00674D00"/>
    <w:rsid w:val="0067521A"/>
    <w:rsid w:val="00675344"/>
    <w:rsid w:val="006816F4"/>
    <w:rsid w:val="00681A8C"/>
    <w:rsid w:val="00682BF4"/>
    <w:rsid w:val="006857F9"/>
    <w:rsid w:val="00685A9C"/>
    <w:rsid w:val="00685E03"/>
    <w:rsid w:val="00690521"/>
    <w:rsid w:val="006917FB"/>
    <w:rsid w:val="00694F9B"/>
    <w:rsid w:val="006951FB"/>
    <w:rsid w:val="006963FE"/>
    <w:rsid w:val="006969B5"/>
    <w:rsid w:val="006A0F78"/>
    <w:rsid w:val="006A6265"/>
    <w:rsid w:val="006A6E2C"/>
    <w:rsid w:val="006B373A"/>
    <w:rsid w:val="006B4AE0"/>
    <w:rsid w:val="006C0B59"/>
    <w:rsid w:val="006C1994"/>
    <w:rsid w:val="006C1D3D"/>
    <w:rsid w:val="006C2C83"/>
    <w:rsid w:val="006C65A3"/>
    <w:rsid w:val="006D0167"/>
    <w:rsid w:val="006D0F1E"/>
    <w:rsid w:val="006D1851"/>
    <w:rsid w:val="006D38D3"/>
    <w:rsid w:val="006D4C97"/>
    <w:rsid w:val="006E0600"/>
    <w:rsid w:val="006E0844"/>
    <w:rsid w:val="006E0F6D"/>
    <w:rsid w:val="006E171C"/>
    <w:rsid w:val="006E1807"/>
    <w:rsid w:val="006E4974"/>
    <w:rsid w:val="006E6759"/>
    <w:rsid w:val="006E6958"/>
    <w:rsid w:val="006E7886"/>
    <w:rsid w:val="006F030D"/>
    <w:rsid w:val="006F4EA2"/>
    <w:rsid w:val="006F7698"/>
    <w:rsid w:val="0070027A"/>
    <w:rsid w:val="0070058C"/>
    <w:rsid w:val="00700660"/>
    <w:rsid w:val="00700E4A"/>
    <w:rsid w:val="00702EFD"/>
    <w:rsid w:val="0070335C"/>
    <w:rsid w:val="007038E8"/>
    <w:rsid w:val="00704A44"/>
    <w:rsid w:val="00710FF6"/>
    <w:rsid w:val="00711155"/>
    <w:rsid w:val="0071143D"/>
    <w:rsid w:val="007116B9"/>
    <w:rsid w:val="00712131"/>
    <w:rsid w:val="0071370A"/>
    <w:rsid w:val="007151A4"/>
    <w:rsid w:val="00715ACC"/>
    <w:rsid w:val="007164CC"/>
    <w:rsid w:val="00720547"/>
    <w:rsid w:val="007205C3"/>
    <w:rsid w:val="0072073B"/>
    <w:rsid w:val="007222DF"/>
    <w:rsid w:val="007226CE"/>
    <w:rsid w:val="00722AEE"/>
    <w:rsid w:val="00723782"/>
    <w:rsid w:val="007260F3"/>
    <w:rsid w:val="0072678E"/>
    <w:rsid w:val="00730C1E"/>
    <w:rsid w:val="00733B11"/>
    <w:rsid w:val="00733FA2"/>
    <w:rsid w:val="0074025F"/>
    <w:rsid w:val="00740B02"/>
    <w:rsid w:val="00740D15"/>
    <w:rsid w:val="00741931"/>
    <w:rsid w:val="00744916"/>
    <w:rsid w:val="00744A16"/>
    <w:rsid w:val="007473E1"/>
    <w:rsid w:val="00747531"/>
    <w:rsid w:val="0075044B"/>
    <w:rsid w:val="00753417"/>
    <w:rsid w:val="00754FF9"/>
    <w:rsid w:val="00755F6F"/>
    <w:rsid w:val="00762155"/>
    <w:rsid w:val="007623CB"/>
    <w:rsid w:val="0076572F"/>
    <w:rsid w:val="00766957"/>
    <w:rsid w:val="00770580"/>
    <w:rsid w:val="007713D3"/>
    <w:rsid w:val="00773006"/>
    <w:rsid w:val="007732D3"/>
    <w:rsid w:val="007768D5"/>
    <w:rsid w:val="00776ECB"/>
    <w:rsid w:val="00777439"/>
    <w:rsid w:val="0078010E"/>
    <w:rsid w:val="0078042A"/>
    <w:rsid w:val="007816A9"/>
    <w:rsid w:val="00783C39"/>
    <w:rsid w:val="00783FAC"/>
    <w:rsid w:val="0078484F"/>
    <w:rsid w:val="0078738A"/>
    <w:rsid w:val="0079047F"/>
    <w:rsid w:val="00790B88"/>
    <w:rsid w:val="00790F3C"/>
    <w:rsid w:val="007915EE"/>
    <w:rsid w:val="00792040"/>
    <w:rsid w:val="00793783"/>
    <w:rsid w:val="00794648"/>
    <w:rsid w:val="00795D46"/>
    <w:rsid w:val="00797A5A"/>
    <w:rsid w:val="007A02FC"/>
    <w:rsid w:val="007A2A87"/>
    <w:rsid w:val="007A52DA"/>
    <w:rsid w:val="007A63F7"/>
    <w:rsid w:val="007B03F1"/>
    <w:rsid w:val="007B1337"/>
    <w:rsid w:val="007B2AC1"/>
    <w:rsid w:val="007B5B15"/>
    <w:rsid w:val="007B5C96"/>
    <w:rsid w:val="007B6E07"/>
    <w:rsid w:val="007B72AF"/>
    <w:rsid w:val="007C11C4"/>
    <w:rsid w:val="007C426A"/>
    <w:rsid w:val="007D1588"/>
    <w:rsid w:val="007D1ABE"/>
    <w:rsid w:val="007D3C60"/>
    <w:rsid w:val="007D4263"/>
    <w:rsid w:val="007D4CE8"/>
    <w:rsid w:val="007D4E55"/>
    <w:rsid w:val="007D4F2E"/>
    <w:rsid w:val="007D551B"/>
    <w:rsid w:val="007E07DD"/>
    <w:rsid w:val="007E202A"/>
    <w:rsid w:val="007E469B"/>
    <w:rsid w:val="007F353B"/>
    <w:rsid w:val="007F3968"/>
    <w:rsid w:val="007F6CC9"/>
    <w:rsid w:val="007F7B4D"/>
    <w:rsid w:val="00802C43"/>
    <w:rsid w:val="0081133E"/>
    <w:rsid w:val="00811D70"/>
    <w:rsid w:val="00815CB0"/>
    <w:rsid w:val="00817A70"/>
    <w:rsid w:val="008200C8"/>
    <w:rsid w:val="008207C9"/>
    <w:rsid w:val="00822E6F"/>
    <w:rsid w:val="008243E6"/>
    <w:rsid w:val="00824CC7"/>
    <w:rsid w:val="00824E8F"/>
    <w:rsid w:val="00825306"/>
    <w:rsid w:val="00825C20"/>
    <w:rsid w:val="00826117"/>
    <w:rsid w:val="00826607"/>
    <w:rsid w:val="00830AAA"/>
    <w:rsid w:val="00832234"/>
    <w:rsid w:val="0083560B"/>
    <w:rsid w:val="00835AAF"/>
    <w:rsid w:val="00836980"/>
    <w:rsid w:val="0084048A"/>
    <w:rsid w:val="008416CE"/>
    <w:rsid w:val="0084236B"/>
    <w:rsid w:val="00843BB2"/>
    <w:rsid w:val="008446AA"/>
    <w:rsid w:val="00845278"/>
    <w:rsid w:val="008465C9"/>
    <w:rsid w:val="00847AAD"/>
    <w:rsid w:val="00853CF7"/>
    <w:rsid w:val="00854A06"/>
    <w:rsid w:val="008560E8"/>
    <w:rsid w:val="00856EB0"/>
    <w:rsid w:val="008574B6"/>
    <w:rsid w:val="00857EB9"/>
    <w:rsid w:val="008610F1"/>
    <w:rsid w:val="008629B4"/>
    <w:rsid w:val="00862EA1"/>
    <w:rsid w:val="00867299"/>
    <w:rsid w:val="00867C6F"/>
    <w:rsid w:val="00867D10"/>
    <w:rsid w:val="0087066F"/>
    <w:rsid w:val="00871995"/>
    <w:rsid w:val="008719CB"/>
    <w:rsid w:val="0087370C"/>
    <w:rsid w:val="00873D2E"/>
    <w:rsid w:val="00874136"/>
    <w:rsid w:val="0087726B"/>
    <w:rsid w:val="008842DD"/>
    <w:rsid w:val="0088793A"/>
    <w:rsid w:val="00897BBE"/>
    <w:rsid w:val="008A042E"/>
    <w:rsid w:val="008A2412"/>
    <w:rsid w:val="008A5637"/>
    <w:rsid w:val="008B11C7"/>
    <w:rsid w:val="008B36D9"/>
    <w:rsid w:val="008B5075"/>
    <w:rsid w:val="008B58AC"/>
    <w:rsid w:val="008B6DE1"/>
    <w:rsid w:val="008C1572"/>
    <w:rsid w:val="008C3762"/>
    <w:rsid w:val="008C5ECF"/>
    <w:rsid w:val="008C6200"/>
    <w:rsid w:val="008C6455"/>
    <w:rsid w:val="008D20D8"/>
    <w:rsid w:val="008D2EBF"/>
    <w:rsid w:val="008D3C44"/>
    <w:rsid w:val="008D48A9"/>
    <w:rsid w:val="008D4ABA"/>
    <w:rsid w:val="008D65B2"/>
    <w:rsid w:val="008D6F56"/>
    <w:rsid w:val="008E0D3A"/>
    <w:rsid w:val="008E1B2F"/>
    <w:rsid w:val="008E3ACF"/>
    <w:rsid w:val="008E4CBE"/>
    <w:rsid w:val="008E7221"/>
    <w:rsid w:val="008F1ED1"/>
    <w:rsid w:val="008F2633"/>
    <w:rsid w:val="008F2A74"/>
    <w:rsid w:val="008F40F9"/>
    <w:rsid w:val="008F4880"/>
    <w:rsid w:val="008F572A"/>
    <w:rsid w:val="008F658B"/>
    <w:rsid w:val="00901239"/>
    <w:rsid w:val="00903F54"/>
    <w:rsid w:val="00904605"/>
    <w:rsid w:val="00907894"/>
    <w:rsid w:val="00907CD1"/>
    <w:rsid w:val="00910471"/>
    <w:rsid w:val="00910877"/>
    <w:rsid w:val="00910DE2"/>
    <w:rsid w:val="0091119E"/>
    <w:rsid w:val="00911BD1"/>
    <w:rsid w:val="00913565"/>
    <w:rsid w:val="00914673"/>
    <w:rsid w:val="00917D8F"/>
    <w:rsid w:val="00917DD3"/>
    <w:rsid w:val="00917F07"/>
    <w:rsid w:val="00917F85"/>
    <w:rsid w:val="00920FF3"/>
    <w:rsid w:val="009218D4"/>
    <w:rsid w:val="009218E0"/>
    <w:rsid w:val="00923D66"/>
    <w:rsid w:val="009241BB"/>
    <w:rsid w:val="0093016D"/>
    <w:rsid w:val="00931A19"/>
    <w:rsid w:val="00933F96"/>
    <w:rsid w:val="009347E7"/>
    <w:rsid w:val="00934913"/>
    <w:rsid w:val="009377E1"/>
    <w:rsid w:val="00941245"/>
    <w:rsid w:val="0094203F"/>
    <w:rsid w:val="00943632"/>
    <w:rsid w:val="00943D4D"/>
    <w:rsid w:val="00952651"/>
    <w:rsid w:val="00955332"/>
    <w:rsid w:val="009556F8"/>
    <w:rsid w:val="00955BA3"/>
    <w:rsid w:val="00957308"/>
    <w:rsid w:val="00961B2A"/>
    <w:rsid w:val="00961BB3"/>
    <w:rsid w:val="00977326"/>
    <w:rsid w:val="0098166E"/>
    <w:rsid w:val="00981A5D"/>
    <w:rsid w:val="00981E60"/>
    <w:rsid w:val="00984F45"/>
    <w:rsid w:val="009907C1"/>
    <w:rsid w:val="00994559"/>
    <w:rsid w:val="0099628F"/>
    <w:rsid w:val="009A10B3"/>
    <w:rsid w:val="009A2BC0"/>
    <w:rsid w:val="009A31ED"/>
    <w:rsid w:val="009A5081"/>
    <w:rsid w:val="009A72C2"/>
    <w:rsid w:val="009B24CE"/>
    <w:rsid w:val="009B34D1"/>
    <w:rsid w:val="009B44CF"/>
    <w:rsid w:val="009B5861"/>
    <w:rsid w:val="009C4604"/>
    <w:rsid w:val="009C6980"/>
    <w:rsid w:val="009D24B3"/>
    <w:rsid w:val="009D2C6F"/>
    <w:rsid w:val="009D4276"/>
    <w:rsid w:val="009E21FC"/>
    <w:rsid w:val="009E27CF"/>
    <w:rsid w:val="009E4E0E"/>
    <w:rsid w:val="009F22DC"/>
    <w:rsid w:val="009F6496"/>
    <w:rsid w:val="009F7DA7"/>
    <w:rsid w:val="009F7F57"/>
    <w:rsid w:val="00A0005F"/>
    <w:rsid w:val="00A0036D"/>
    <w:rsid w:val="00A0136D"/>
    <w:rsid w:val="00A01398"/>
    <w:rsid w:val="00A027F3"/>
    <w:rsid w:val="00A028CD"/>
    <w:rsid w:val="00A03711"/>
    <w:rsid w:val="00A0743C"/>
    <w:rsid w:val="00A10943"/>
    <w:rsid w:val="00A121F0"/>
    <w:rsid w:val="00A16620"/>
    <w:rsid w:val="00A22CC8"/>
    <w:rsid w:val="00A24172"/>
    <w:rsid w:val="00A262E0"/>
    <w:rsid w:val="00A307BB"/>
    <w:rsid w:val="00A32597"/>
    <w:rsid w:val="00A32D97"/>
    <w:rsid w:val="00A3522D"/>
    <w:rsid w:val="00A36027"/>
    <w:rsid w:val="00A3609E"/>
    <w:rsid w:val="00A3697C"/>
    <w:rsid w:val="00A400F3"/>
    <w:rsid w:val="00A417AA"/>
    <w:rsid w:val="00A425AE"/>
    <w:rsid w:val="00A45B15"/>
    <w:rsid w:val="00A46841"/>
    <w:rsid w:val="00A50F50"/>
    <w:rsid w:val="00A555CA"/>
    <w:rsid w:val="00A55846"/>
    <w:rsid w:val="00A55F52"/>
    <w:rsid w:val="00A56E64"/>
    <w:rsid w:val="00A6092F"/>
    <w:rsid w:val="00A60FFA"/>
    <w:rsid w:val="00A640BE"/>
    <w:rsid w:val="00A65F16"/>
    <w:rsid w:val="00A70DF2"/>
    <w:rsid w:val="00A711D7"/>
    <w:rsid w:val="00A72375"/>
    <w:rsid w:val="00A72CA0"/>
    <w:rsid w:val="00A74888"/>
    <w:rsid w:val="00A768EE"/>
    <w:rsid w:val="00A76D30"/>
    <w:rsid w:val="00A80396"/>
    <w:rsid w:val="00A81FEB"/>
    <w:rsid w:val="00A8436C"/>
    <w:rsid w:val="00A84EC6"/>
    <w:rsid w:val="00A879ED"/>
    <w:rsid w:val="00A945F7"/>
    <w:rsid w:val="00A97374"/>
    <w:rsid w:val="00A977E7"/>
    <w:rsid w:val="00AA0CB0"/>
    <w:rsid w:val="00AA12FE"/>
    <w:rsid w:val="00AA1737"/>
    <w:rsid w:val="00AA267D"/>
    <w:rsid w:val="00AA2682"/>
    <w:rsid w:val="00AA326B"/>
    <w:rsid w:val="00AA3BCC"/>
    <w:rsid w:val="00AA5472"/>
    <w:rsid w:val="00AA5E7A"/>
    <w:rsid w:val="00AB3997"/>
    <w:rsid w:val="00AB3FB8"/>
    <w:rsid w:val="00AC0AC7"/>
    <w:rsid w:val="00AC0F91"/>
    <w:rsid w:val="00AD20D1"/>
    <w:rsid w:val="00AD5C80"/>
    <w:rsid w:val="00AD6ABE"/>
    <w:rsid w:val="00AE34A4"/>
    <w:rsid w:val="00AE4D8D"/>
    <w:rsid w:val="00AE7012"/>
    <w:rsid w:val="00AF040C"/>
    <w:rsid w:val="00AF3DFA"/>
    <w:rsid w:val="00AF64AF"/>
    <w:rsid w:val="00AF68EA"/>
    <w:rsid w:val="00AF7E81"/>
    <w:rsid w:val="00AF7EDA"/>
    <w:rsid w:val="00B00210"/>
    <w:rsid w:val="00B00CC5"/>
    <w:rsid w:val="00B01174"/>
    <w:rsid w:val="00B01737"/>
    <w:rsid w:val="00B032C9"/>
    <w:rsid w:val="00B05683"/>
    <w:rsid w:val="00B06F86"/>
    <w:rsid w:val="00B07721"/>
    <w:rsid w:val="00B11B6F"/>
    <w:rsid w:val="00B22CE2"/>
    <w:rsid w:val="00B31A44"/>
    <w:rsid w:val="00B322C4"/>
    <w:rsid w:val="00B36480"/>
    <w:rsid w:val="00B4032B"/>
    <w:rsid w:val="00B40994"/>
    <w:rsid w:val="00B438CC"/>
    <w:rsid w:val="00B448CB"/>
    <w:rsid w:val="00B4492B"/>
    <w:rsid w:val="00B45666"/>
    <w:rsid w:val="00B45F91"/>
    <w:rsid w:val="00B47597"/>
    <w:rsid w:val="00B50B7C"/>
    <w:rsid w:val="00B537C1"/>
    <w:rsid w:val="00B54A5E"/>
    <w:rsid w:val="00B5731C"/>
    <w:rsid w:val="00B61F99"/>
    <w:rsid w:val="00B63CCF"/>
    <w:rsid w:val="00B66338"/>
    <w:rsid w:val="00B66758"/>
    <w:rsid w:val="00B66F32"/>
    <w:rsid w:val="00B67C42"/>
    <w:rsid w:val="00B704E1"/>
    <w:rsid w:val="00B70C5D"/>
    <w:rsid w:val="00B719F6"/>
    <w:rsid w:val="00B73371"/>
    <w:rsid w:val="00B74DE4"/>
    <w:rsid w:val="00B80E1F"/>
    <w:rsid w:val="00B81F0B"/>
    <w:rsid w:val="00B8224E"/>
    <w:rsid w:val="00B83906"/>
    <w:rsid w:val="00B9196D"/>
    <w:rsid w:val="00B93B33"/>
    <w:rsid w:val="00B94545"/>
    <w:rsid w:val="00B957BD"/>
    <w:rsid w:val="00B972F8"/>
    <w:rsid w:val="00BA13C9"/>
    <w:rsid w:val="00BA237F"/>
    <w:rsid w:val="00BA3EF0"/>
    <w:rsid w:val="00BA756D"/>
    <w:rsid w:val="00BB23A4"/>
    <w:rsid w:val="00BB3282"/>
    <w:rsid w:val="00BB331E"/>
    <w:rsid w:val="00BB57F4"/>
    <w:rsid w:val="00BC0179"/>
    <w:rsid w:val="00BC28E2"/>
    <w:rsid w:val="00BC4A46"/>
    <w:rsid w:val="00BC5EA8"/>
    <w:rsid w:val="00BC778A"/>
    <w:rsid w:val="00BD0D5D"/>
    <w:rsid w:val="00BD1538"/>
    <w:rsid w:val="00BD1A76"/>
    <w:rsid w:val="00BD2D22"/>
    <w:rsid w:val="00BD4343"/>
    <w:rsid w:val="00BD4900"/>
    <w:rsid w:val="00BD5501"/>
    <w:rsid w:val="00BD5FD0"/>
    <w:rsid w:val="00BD66D4"/>
    <w:rsid w:val="00BD7273"/>
    <w:rsid w:val="00BD7717"/>
    <w:rsid w:val="00BE0422"/>
    <w:rsid w:val="00BE13F0"/>
    <w:rsid w:val="00BE1624"/>
    <w:rsid w:val="00BE77E2"/>
    <w:rsid w:val="00BF1352"/>
    <w:rsid w:val="00BF196E"/>
    <w:rsid w:val="00BF1A6B"/>
    <w:rsid w:val="00BF3C6E"/>
    <w:rsid w:val="00BF421D"/>
    <w:rsid w:val="00BF4BA0"/>
    <w:rsid w:val="00BF5287"/>
    <w:rsid w:val="00BF5AC8"/>
    <w:rsid w:val="00BF5E6C"/>
    <w:rsid w:val="00BF65FD"/>
    <w:rsid w:val="00C015EC"/>
    <w:rsid w:val="00C02B58"/>
    <w:rsid w:val="00C075DC"/>
    <w:rsid w:val="00C076FD"/>
    <w:rsid w:val="00C12E5E"/>
    <w:rsid w:val="00C12FCD"/>
    <w:rsid w:val="00C21421"/>
    <w:rsid w:val="00C22AF6"/>
    <w:rsid w:val="00C25DD1"/>
    <w:rsid w:val="00C2646F"/>
    <w:rsid w:val="00C26DA5"/>
    <w:rsid w:val="00C31197"/>
    <w:rsid w:val="00C312A2"/>
    <w:rsid w:val="00C31EAA"/>
    <w:rsid w:val="00C327CC"/>
    <w:rsid w:val="00C32C18"/>
    <w:rsid w:val="00C32E1F"/>
    <w:rsid w:val="00C33821"/>
    <w:rsid w:val="00C376DB"/>
    <w:rsid w:val="00C40827"/>
    <w:rsid w:val="00C44C34"/>
    <w:rsid w:val="00C45949"/>
    <w:rsid w:val="00C54DFC"/>
    <w:rsid w:val="00C56F56"/>
    <w:rsid w:val="00C60852"/>
    <w:rsid w:val="00C63C30"/>
    <w:rsid w:val="00C65E0D"/>
    <w:rsid w:val="00C66108"/>
    <w:rsid w:val="00C73E4B"/>
    <w:rsid w:val="00C74678"/>
    <w:rsid w:val="00C77717"/>
    <w:rsid w:val="00C7789C"/>
    <w:rsid w:val="00C80F93"/>
    <w:rsid w:val="00C814CC"/>
    <w:rsid w:val="00C81F9C"/>
    <w:rsid w:val="00C903FA"/>
    <w:rsid w:val="00C9122A"/>
    <w:rsid w:val="00C92675"/>
    <w:rsid w:val="00C97CBB"/>
    <w:rsid w:val="00CA37DD"/>
    <w:rsid w:val="00CA4462"/>
    <w:rsid w:val="00CA5181"/>
    <w:rsid w:val="00CA663D"/>
    <w:rsid w:val="00CB15B8"/>
    <w:rsid w:val="00CB309F"/>
    <w:rsid w:val="00CB4BA8"/>
    <w:rsid w:val="00CB5329"/>
    <w:rsid w:val="00CB5F0A"/>
    <w:rsid w:val="00CC1650"/>
    <w:rsid w:val="00CC3764"/>
    <w:rsid w:val="00CC783B"/>
    <w:rsid w:val="00CD02F3"/>
    <w:rsid w:val="00CD057D"/>
    <w:rsid w:val="00CD0EDC"/>
    <w:rsid w:val="00CD10BB"/>
    <w:rsid w:val="00CD250C"/>
    <w:rsid w:val="00CD2D9A"/>
    <w:rsid w:val="00CD31BF"/>
    <w:rsid w:val="00CD4033"/>
    <w:rsid w:val="00CD407E"/>
    <w:rsid w:val="00CD5F28"/>
    <w:rsid w:val="00CE02B4"/>
    <w:rsid w:val="00CE6026"/>
    <w:rsid w:val="00CE7204"/>
    <w:rsid w:val="00CF44D0"/>
    <w:rsid w:val="00CF7890"/>
    <w:rsid w:val="00CF7A4B"/>
    <w:rsid w:val="00D01CC8"/>
    <w:rsid w:val="00D03CA4"/>
    <w:rsid w:val="00D04631"/>
    <w:rsid w:val="00D04C0F"/>
    <w:rsid w:val="00D05EDD"/>
    <w:rsid w:val="00D137E7"/>
    <w:rsid w:val="00D17420"/>
    <w:rsid w:val="00D17FD9"/>
    <w:rsid w:val="00D202EA"/>
    <w:rsid w:val="00D20D63"/>
    <w:rsid w:val="00D226D6"/>
    <w:rsid w:val="00D22CC4"/>
    <w:rsid w:val="00D232A4"/>
    <w:rsid w:val="00D239E0"/>
    <w:rsid w:val="00D26498"/>
    <w:rsid w:val="00D27287"/>
    <w:rsid w:val="00D27972"/>
    <w:rsid w:val="00D3097B"/>
    <w:rsid w:val="00D45D2F"/>
    <w:rsid w:val="00D47C29"/>
    <w:rsid w:val="00D517D4"/>
    <w:rsid w:val="00D53E1C"/>
    <w:rsid w:val="00D54D0C"/>
    <w:rsid w:val="00D615B2"/>
    <w:rsid w:val="00D64D87"/>
    <w:rsid w:val="00D707D4"/>
    <w:rsid w:val="00D70D7D"/>
    <w:rsid w:val="00D71614"/>
    <w:rsid w:val="00D71C7F"/>
    <w:rsid w:val="00D72A44"/>
    <w:rsid w:val="00D76CB7"/>
    <w:rsid w:val="00D77209"/>
    <w:rsid w:val="00D810FD"/>
    <w:rsid w:val="00D84892"/>
    <w:rsid w:val="00D864F5"/>
    <w:rsid w:val="00D91A26"/>
    <w:rsid w:val="00D9269F"/>
    <w:rsid w:val="00D9281A"/>
    <w:rsid w:val="00D932A2"/>
    <w:rsid w:val="00D93C45"/>
    <w:rsid w:val="00D94D7D"/>
    <w:rsid w:val="00D97876"/>
    <w:rsid w:val="00DA0914"/>
    <w:rsid w:val="00DA381C"/>
    <w:rsid w:val="00DA38FE"/>
    <w:rsid w:val="00DA416D"/>
    <w:rsid w:val="00DB6BF3"/>
    <w:rsid w:val="00DB71FF"/>
    <w:rsid w:val="00DB7377"/>
    <w:rsid w:val="00DC2810"/>
    <w:rsid w:val="00DC4FBC"/>
    <w:rsid w:val="00DC5129"/>
    <w:rsid w:val="00DD342D"/>
    <w:rsid w:val="00DD3751"/>
    <w:rsid w:val="00DD4F18"/>
    <w:rsid w:val="00DD6C46"/>
    <w:rsid w:val="00DE0E54"/>
    <w:rsid w:val="00DE211F"/>
    <w:rsid w:val="00DE575B"/>
    <w:rsid w:val="00DE73A8"/>
    <w:rsid w:val="00DE74B6"/>
    <w:rsid w:val="00DE75D3"/>
    <w:rsid w:val="00DF19BC"/>
    <w:rsid w:val="00DF4ECF"/>
    <w:rsid w:val="00DF7BFB"/>
    <w:rsid w:val="00E00143"/>
    <w:rsid w:val="00E011E9"/>
    <w:rsid w:val="00E01BF1"/>
    <w:rsid w:val="00E0270B"/>
    <w:rsid w:val="00E04092"/>
    <w:rsid w:val="00E042DF"/>
    <w:rsid w:val="00E054E2"/>
    <w:rsid w:val="00E06CC6"/>
    <w:rsid w:val="00E145C2"/>
    <w:rsid w:val="00E14D96"/>
    <w:rsid w:val="00E17C35"/>
    <w:rsid w:val="00E17F12"/>
    <w:rsid w:val="00E22CBE"/>
    <w:rsid w:val="00E2402E"/>
    <w:rsid w:val="00E266FD"/>
    <w:rsid w:val="00E30C78"/>
    <w:rsid w:val="00E31332"/>
    <w:rsid w:val="00E315B9"/>
    <w:rsid w:val="00E325EA"/>
    <w:rsid w:val="00E33163"/>
    <w:rsid w:val="00E33F37"/>
    <w:rsid w:val="00E37353"/>
    <w:rsid w:val="00E37903"/>
    <w:rsid w:val="00E40170"/>
    <w:rsid w:val="00E42AD6"/>
    <w:rsid w:val="00E43351"/>
    <w:rsid w:val="00E43861"/>
    <w:rsid w:val="00E44795"/>
    <w:rsid w:val="00E44924"/>
    <w:rsid w:val="00E515BD"/>
    <w:rsid w:val="00E51655"/>
    <w:rsid w:val="00E51A6D"/>
    <w:rsid w:val="00E51DF5"/>
    <w:rsid w:val="00E521D0"/>
    <w:rsid w:val="00E53111"/>
    <w:rsid w:val="00E53F3A"/>
    <w:rsid w:val="00E55539"/>
    <w:rsid w:val="00E5579E"/>
    <w:rsid w:val="00E57938"/>
    <w:rsid w:val="00E57E13"/>
    <w:rsid w:val="00E61019"/>
    <w:rsid w:val="00E62F1F"/>
    <w:rsid w:val="00E63773"/>
    <w:rsid w:val="00E70F41"/>
    <w:rsid w:val="00E7107A"/>
    <w:rsid w:val="00E71FB1"/>
    <w:rsid w:val="00E755CB"/>
    <w:rsid w:val="00E75D94"/>
    <w:rsid w:val="00E776B3"/>
    <w:rsid w:val="00E8213E"/>
    <w:rsid w:val="00E831B3"/>
    <w:rsid w:val="00E83770"/>
    <w:rsid w:val="00E83967"/>
    <w:rsid w:val="00E87986"/>
    <w:rsid w:val="00E90DC4"/>
    <w:rsid w:val="00E916DC"/>
    <w:rsid w:val="00EA2266"/>
    <w:rsid w:val="00EA3734"/>
    <w:rsid w:val="00EA7514"/>
    <w:rsid w:val="00EA7EB4"/>
    <w:rsid w:val="00EB1A98"/>
    <w:rsid w:val="00EB2B06"/>
    <w:rsid w:val="00EB6B8E"/>
    <w:rsid w:val="00EC056A"/>
    <w:rsid w:val="00EC1E68"/>
    <w:rsid w:val="00EC45B3"/>
    <w:rsid w:val="00EC4E29"/>
    <w:rsid w:val="00EC729E"/>
    <w:rsid w:val="00ED0E66"/>
    <w:rsid w:val="00ED2151"/>
    <w:rsid w:val="00ED2D4C"/>
    <w:rsid w:val="00ED32F4"/>
    <w:rsid w:val="00ED3971"/>
    <w:rsid w:val="00ED6496"/>
    <w:rsid w:val="00EE1A2E"/>
    <w:rsid w:val="00EE4731"/>
    <w:rsid w:val="00EE6561"/>
    <w:rsid w:val="00EF1366"/>
    <w:rsid w:val="00EF3C0B"/>
    <w:rsid w:val="00EF3D23"/>
    <w:rsid w:val="00EF54B6"/>
    <w:rsid w:val="00F03AFC"/>
    <w:rsid w:val="00F0532E"/>
    <w:rsid w:val="00F06014"/>
    <w:rsid w:val="00F06CAB"/>
    <w:rsid w:val="00F07627"/>
    <w:rsid w:val="00F1011D"/>
    <w:rsid w:val="00F106EA"/>
    <w:rsid w:val="00F1309E"/>
    <w:rsid w:val="00F1391C"/>
    <w:rsid w:val="00F14007"/>
    <w:rsid w:val="00F14FBE"/>
    <w:rsid w:val="00F21B6D"/>
    <w:rsid w:val="00F22760"/>
    <w:rsid w:val="00F228BE"/>
    <w:rsid w:val="00F2500B"/>
    <w:rsid w:val="00F2643F"/>
    <w:rsid w:val="00F26B69"/>
    <w:rsid w:val="00F27191"/>
    <w:rsid w:val="00F2742D"/>
    <w:rsid w:val="00F312BB"/>
    <w:rsid w:val="00F318C5"/>
    <w:rsid w:val="00F33D91"/>
    <w:rsid w:val="00F350AF"/>
    <w:rsid w:val="00F36B87"/>
    <w:rsid w:val="00F37788"/>
    <w:rsid w:val="00F37A47"/>
    <w:rsid w:val="00F37D62"/>
    <w:rsid w:val="00F41C13"/>
    <w:rsid w:val="00F43D26"/>
    <w:rsid w:val="00F45797"/>
    <w:rsid w:val="00F46209"/>
    <w:rsid w:val="00F46623"/>
    <w:rsid w:val="00F504EB"/>
    <w:rsid w:val="00F51AB2"/>
    <w:rsid w:val="00F51E2C"/>
    <w:rsid w:val="00F53251"/>
    <w:rsid w:val="00F53846"/>
    <w:rsid w:val="00F55180"/>
    <w:rsid w:val="00F56323"/>
    <w:rsid w:val="00F57B25"/>
    <w:rsid w:val="00F6076F"/>
    <w:rsid w:val="00F62987"/>
    <w:rsid w:val="00F64ABD"/>
    <w:rsid w:val="00F6555A"/>
    <w:rsid w:val="00F66547"/>
    <w:rsid w:val="00F71F69"/>
    <w:rsid w:val="00F72620"/>
    <w:rsid w:val="00F72BD1"/>
    <w:rsid w:val="00F813EF"/>
    <w:rsid w:val="00F83DD2"/>
    <w:rsid w:val="00F84C45"/>
    <w:rsid w:val="00F9286E"/>
    <w:rsid w:val="00F955E9"/>
    <w:rsid w:val="00F9718A"/>
    <w:rsid w:val="00FA00A3"/>
    <w:rsid w:val="00FA4B6F"/>
    <w:rsid w:val="00FA5735"/>
    <w:rsid w:val="00FA5F37"/>
    <w:rsid w:val="00FB09AB"/>
    <w:rsid w:val="00FC38CB"/>
    <w:rsid w:val="00FD0950"/>
    <w:rsid w:val="00FD17D5"/>
    <w:rsid w:val="00FD1EB1"/>
    <w:rsid w:val="00FD379D"/>
    <w:rsid w:val="00FD63CB"/>
    <w:rsid w:val="00FD6938"/>
    <w:rsid w:val="00FD69ED"/>
    <w:rsid w:val="00FD7B6F"/>
    <w:rsid w:val="00FE0509"/>
    <w:rsid w:val="00FE0678"/>
    <w:rsid w:val="00FE0B04"/>
    <w:rsid w:val="00FE14F3"/>
    <w:rsid w:val="00FE41CF"/>
    <w:rsid w:val="00FE6EB1"/>
    <w:rsid w:val="00FF01EC"/>
    <w:rsid w:val="00FF19CE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DC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90DC4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qFormat/>
    <w:rsid w:val="00E90DC4"/>
    <w:pPr>
      <w:keepNext/>
      <w:widowControl/>
      <w:autoSpaceDE/>
      <w:autoSpaceDN/>
      <w:adjustRightInd/>
      <w:jc w:val="right"/>
      <w:outlineLvl w:val="1"/>
    </w:pPr>
    <w:rPr>
      <w:sz w:val="28"/>
    </w:rPr>
  </w:style>
  <w:style w:type="paragraph" w:styleId="5">
    <w:name w:val="heading 5"/>
    <w:basedOn w:val="a"/>
    <w:next w:val="a"/>
    <w:qFormat/>
    <w:rsid w:val="00E90DC4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DC4"/>
    <w:pPr>
      <w:widowControl/>
      <w:autoSpaceDE/>
      <w:autoSpaceDN/>
      <w:adjustRightInd/>
      <w:jc w:val="both"/>
    </w:pPr>
    <w:rPr>
      <w:sz w:val="24"/>
    </w:rPr>
  </w:style>
  <w:style w:type="table" w:styleId="a4">
    <w:name w:val="Table Grid"/>
    <w:basedOn w:val="a1"/>
    <w:rsid w:val="00E90D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D1A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71F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E3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E3C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 Знак Знак"/>
    <w:basedOn w:val="a0"/>
    <w:rsid w:val="006E0F6D"/>
  </w:style>
  <w:style w:type="character" w:customStyle="1" w:styleId="ConsPlusNormal0">
    <w:name w:val="ConsPlusNormal Знак"/>
    <w:link w:val="ConsPlusNormal"/>
    <w:rsid w:val="006E0F6D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B45666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7A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7A5A"/>
  </w:style>
  <w:style w:type="paragraph" w:styleId="a9">
    <w:name w:val="footer"/>
    <w:basedOn w:val="a"/>
    <w:link w:val="aa"/>
    <w:rsid w:val="00797A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97A5A"/>
  </w:style>
  <w:style w:type="character" w:customStyle="1" w:styleId="20">
    <w:name w:val="Заголовок 2 Знак"/>
    <w:link w:val="2"/>
    <w:rsid w:val="00BA237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6A6C20-FE84-48FB-870A-CFCC00A6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minprom</Company>
  <LinksUpToDate>false</LinksUpToDate>
  <CharactersWithSpaces>7342</CharactersWithSpaces>
  <SharedDoc>false</SharedDoc>
  <HLinks>
    <vt:vector size="48" baseType="variant">
      <vt:variant>
        <vt:i4>4325385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consultantplus://offline/ref=FCB33543A192710928365BA6515D00227D4DFFB7DB68F0CAA963F2E54D247A6EE1C106E6925C9802003756K3IBL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4456534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consultantplus://offline/ref=D0D81F998FF328F25410A04F349D0C0BC6A72B832416C22BA83433463E07FEB3B628A1F8FCBF256FE1D3FEFFKCL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5767178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consultantplus://offline/ref=745173F2A8402F35CB0FF380D1C5C3AC782E0BFE76298694451ACA0FC9C13474BF2B9BF964D191D3F8F446q861E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legal</dc:creator>
  <cp:lastModifiedBy>raven</cp:lastModifiedBy>
  <cp:revision>3</cp:revision>
  <cp:lastPrinted>2013-09-11T13:13:00Z</cp:lastPrinted>
  <dcterms:created xsi:type="dcterms:W3CDTF">2014-09-01T07:05:00Z</dcterms:created>
  <dcterms:modified xsi:type="dcterms:W3CDTF">2014-09-01T07:06:00Z</dcterms:modified>
</cp:coreProperties>
</file>