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3"/>
        <w:contextualSpacing/>
        <w:jc w:val="right"/>
      </w:pPr>
      <w:r>
        <w:tab/>
        <w:tab/>
      </w:r>
      <w:r>
        <w:t xml:space="preserve">Проект</w:t>
      </w:r>
      <w:r/>
    </w:p>
    <w:p>
      <w:pPr>
        <w:pStyle w:val="993"/>
        <w:contextualSpacing/>
        <w:tabs>
          <w:tab w:val="left" w:pos="6147" w:leader="none"/>
        </w:tabs>
      </w:pPr>
      <w:r>
        <w:tab/>
      </w:r>
      <w:r/>
    </w:p>
    <w:p>
      <w:pPr>
        <w:pStyle w:val="993"/>
        <w:contextualSpacing/>
        <w:jc w:val="right"/>
      </w:pPr>
      <w:r/>
      <w:r/>
    </w:p>
    <w:p>
      <w:pPr>
        <w:pStyle w:val="993"/>
        <w:contextualSpacing/>
        <w:jc w:val="center"/>
        <w:widowControl w:val="off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ПРАВИТЕЛЬСТВО УДМУРТСКОЙ РЕСПУБЛИКИ</w:t>
      </w:r>
      <w:r>
        <w:rPr>
          <w:rFonts w:eastAsia="Times New Roman"/>
          <w:b/>
          <w:lang w:eastAsia="ru-RU"/>
        </w:rPr>
      </w:r>
      <w:r>
        <w:rPr>
          <w:rFonts w:eastAsia="Times New Roman"/>
          <w:b/>
          <w:lang w:eastAsia="ru-RU"/>
        </w:rPr>
      </w:r>
    </w:p>
    <w:p>
      <w:pPr>
        <w:pStyle w:val="993"/>
        <w:contextualSpacing/>
        <w:jc w:val="center"/>
        <w:rPr>
          <w:b/>
        </w:rPr>
      </w:pPr>
      <w:r>
        <w:rPr>
          <w:b/>
        </w:rPr>
        <w:t xml:space="preserve">ПОСТАНОВЛЕНИЕ</w:t>
      </w:r>
      <w:r>
        <w:rPr>
          <w:b/>
        </w:rPr>
      </w:r>
      <w:r>
        <w:rPr>
          <w:b/>
        </w:rPr>
      </w:r>
    </w:p>
    <w:p>
      <w:pPr>
        <w:pStyle w:val="993"/>
        <w:contextualSpacing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93"/>
        <w:jc w:val="center"/>
      </w:pPr>
      <w:r/>
      <w:r/>
    </w:p>
    <w:p>
      <w:pPr>
        <w:pStyle w:val="993"/>
      </w:pPr>
      <w:r>
        <w:t xml:space="preserve">от «___»_______ 20__ года </w:t>
        <w:tab/>
        <w:tab/>
        <w:tab/>
        <w:tab/>
        <w:tab/>
        <w:tab/>
        <w:tab/>
        <w:tab/>
        <w:t xml:space="preserve"> № ___</w:t>
      </w:r>
      <w:r/>
    </w:p>
    <w:p>
      <w:pPr>
        <w:pStyle w:val="993"/>
        <w:contextualSpacing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93"/>
        <w:contextualSpacing/>
        <w:jc w:val="center"/>
        <w:rPr>
          <w:b/>
        </w:rPr>
      </w:pPr>
      <w:r>
        <w:t xml:space="preserve">г. Ижевск</w:t>
      </w:r>
      <w:r>
        <w:rPr>
          <w:b/>
        </w:rPr>
      </w:r>
      <w:r>
        <w:rPr>
          <w:b/>
        </w:rPr>
      </w:r>
    </w:p>
    <w:p>
      <w:pPr>
        <w:pStyle w:val="993"/>
        <w:contextualSpacing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93"/>
        <w:contextualSpacing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93"/>
        <w:contextualSpacing/>
        <w:jc w:val="center"/>
        <w:rPr>
          <w:b/>
        </w:rPr>
      </w:pPr>
      <w:r>
        <w:rPr>
          <w:b/>
        </w:rPr>
        <w:t xml:space="preserve">Об утверждении </w:t>
      </w:r>
      <w:r>
        <w:rPr>
          <w:b/>
        </w:rPr>
        <w:t xml:space="preserve">Правил</w:t>
      </w:r>
      <w:r>
        <w:rPr>
          <w:b/>
        </w:rPr>
        <w:t xml:space="preserve"> отбора управляющей компании по управлению и (или) эксплуатации, техническому и санитарному содержанию научно-производственного центра испытаний и компетенций в области развития технологий беспилотных авиационных систем в Удмуртской Республике</w:t>
      </w:r>
      <w:r>
        <w:rPr>
          <w:b/>
        </w:rPr>
      </w:r>
      <w:r>
        <w:rPr>
          <w:b/>
        </w:rPr>
      </w:r>
    </w:p>
    <w:p>
      <w:pPr>
        <w:pStyle w:val="993"/>
        <w:contextualSpacing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93"/>
        <w:contextualSpacing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93"/>
        <w:contextualSpacing/>
        <w:ind w:firstLine="709"/>
        <w:jc w:val="both"/>
      </w:pPr>
      <w:r>
        <w:t xml:space="preserve">В </w:t>
      </w:r>
      <w:r>
        <w:t xml:space="preserve">соответствии с постановлением Правительства Российской Федерации от 15 апреля 2014 года № 328 «Об утверждении государственной программы Российской Федерации «Развитие промышленности и повышение ее конкурентоспособности» Правительство Удмуртской Республики </w:t>
      </w:r>
      <w:r>
        <w:rPr>
          <w:b/>
        </w:rPr>
        <w:t xml:space="preserve">постановляет:</w:t>
      </w:r>
      <w:r/>
    </w:p>
    <w:p>
      <w:pPr>
        <w:pStyle w:val="993"/>
        <w:contextualSpacing/>
        <w:ind w:firstLine="709"/>
        <w:jc w:val="both"/>
      </w:pPr>
      <w:r>
        <w:rPr>
          <w:color w:val="000000"/>
        </w:rPr>
        <w:t xml:space="preserve">1. Утвердить</w:t>
      </w:r>
      <w:r>
        <w:rPr>
          <w:color w:val="000000"/>
        </w:rPr>
        <w:t xml:space="preserve"> </w:t>
      </w:r>
      <w:r>
        <w:t xml:space="preserve">прилагаемые Правила</w:t>
      </w:r>
      <w:r>
        <w:rPr>
          <w:color w:val="000000"/>
        </w:rPr>
        <w:t xml:space="preserve"> отбора </w:t>
      </w:r>
      <w:r>
        <w:rPr>
          <w:color w:val="000000"/>
        </w:rPr>
        <w:t xml:space="preserve">управляющей компании по управлению и (или) эксплуатации, техническому и санитарному содержанию научно-производственного центра испытаний и компетенций в области развития технологий беспилотных авиационных систем в Удмуртской </w:t>
      </w:r>
      <w:r>
        <w:t xml:space="preserve">Республике</w:t>
      </w:r>
      <w:r>
        <w:t xml:space="preserve">.</w:t>
      </w:r>
      <w:r/>
    </w:p>
    <w:p>
      <w:pPr>
        <w:pStyle w:val="993"/>
        <w:contextualSpacing/>
        <w:ind w:firstLine="709"/>
        <w:jc w:val="both"/>
      </w:pPr>
      <w:r>
        <w:t xml:space="preserve">2. Определить Министерство промышленности и торговли Удмуртской Республики уполномоченным исполнительным органом Удмуртской Республики на заключение соглаш</w:t>
      </w:r>
      <w:r>
        <w:t xml:space="preserve">ений с управляющими компаниями о намерениях управляющих компаний по управлению и (или) эксплуатации, техническому и санитарному содержанию научно-производственного центра испытаний и компетенций в области развития технологий беспилотных авиационных систем </w:t>
      </w:r>
      <w:r>
        <w:t xml:space="preserve">в рамках комплекса мероприятий по оснащению научно-производственного центра оборудованием</w:t>
      </w:r>
      <w:r>
        <w:t xml:space="preserve">, дополнительных соглашений к ним, на принятие решений о расторжении таких соглашений и об урегулировании вытекающих из них споров, а также на осуществление иных полном</w:t>
      </w:r>
      <w:r>
        <w:t xml:space="preserve">очий, предусмотренных такими соглашения</w:t>
      </w:r>
      <w:r>
        <w:t xml:space="preserve">ми.</w:t>
      </w:r>
      <w:r/>
    </w:p>
    <w:p>
      <w:pPr>
        <w:pStyle w:val="993"/>
        <w:contextualSpacing/>
        <w:ind w:firstLine="709"/>
        <w:jc w:val="both"/>
      </w:pPr>
      <w:r>
        <w:t xml:space="preserve">3. Министерству промышленности и торговли Удмуртской Республики в течение 10 календарных дней со дня вступления в силу настоящего постановления утвердить рекомендованные формы предоставления информации при подготовке зая</w:t>
      </w:r>
      <w:r>
        <w:t xml:space="preserve">вки и прилагаемых к ней документов на отбор управляющих компаний по управлению и (или) эксплуатации, техническому и санитарному содержанию научно-производственного центра испытаний и компетенций в области развития технологий беспилотных авиационных систем </w:t>
      </w:r>
      <w:r>
        <w:t xml:space="preserve">в рамках комплекса мероприятий по оснащению научно-производственного центра оборудованием.</w:t>
      </w:r>
      <w:r/>
    </w:p>
    <w:p>
      <w:pPr>
        <w:pStyle w:val="993"/>
        <w:contextualSpacing/>
        <w:ind w:firstLine="709"/>
        <w:jc w:val="both"/>
      </w:pPr>
      <w:r/>
      <w:r/>
    </w:p>
    <w:p>
      <w:pPr>
        <w:pStyle w:val="993"/>
        <w:contextualSpacing/>
        <w:ind w:firstLine="709"/>
        <w:jc w:val="both"/>
      </w:pPr>
      <w:r/>
      <w:r/>
    </w:p>
    <w:p>
      <w:pPr>
        <w:pStyle w:val="993"/>
        <w:contextualSpacing/>
        <w:ind w:firstLine="709"/>
        <w:jc w:val="both"/>
      </w:pPr>
      <w:r/>
      <w:r/>
    </w:p>
    <w:p>
      <w:pPr>
        <w:pStyle w:val="993"/>
        <w:contextualSpacing/>
        <w:rPr>
          <w:b/>
        </w:rPr>
      </w:pPr>
      <w:r>
        <w:rPr>
          <w:b/>
        </w:rPr>
        <w:t xml:space="preserve">Председатель Правительства</w:t>
      </w:r>
      <w:r>
        <w:rPr>
          <w:b/>
        </w:rPr>
      </w:r>
      <w:r>
        <w:rPr>
          <w:b/>
        </w:rPr>
      </w:r>
    </w:p>
    <w:p>
      <w:pPr>
        <w:pStyle w:val="993"/>
        <w:rPr>
          <w:b/>
        </w:rPr>
      </w:pPr>
      <w:r>
        <w:rPr>
          <w:b/>
        </w:rPr>
        <w:t xml:space="preserve">Удмуртской Республики </w:t>
        <w:tab/>
        <w:tab/>
        <w:tab/>
        <w:tab/>
        <w:tab/>
      </w:r>
      <w:r>
        <w:rPr>
          <w:b/>
        </w:rPr>
        <w:t xml:space="preserve">    </w:t>
      </w:r>
      <w:r>
        <w:rPr>
          <w:b/>
        </w:rPr>
        <w:tab/>
        <w:t xml:space="preserve">      </w:t>
      </w:r>
      <w:r>
        <w:rPr>
          <w:b/>
        </w:rPr>
        <w:t xml:space="preserve"> Я.В. Семенов</w:t>
      </w:r>
      <w:r>
        <w:rPr>
          <w:b/>
        </w:rPr>
      </w:r>
      <w:r>
        <w:rPr>
          <w:b/>
        </w:rPr>
      </w:r>
    </w:p>
    <w:p>
      <w:pPr>
        <w:pStyle w:val="993"/>
        <w:contextualSpacing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93"/>
        <w:contextualSpacing/>
      </w:pPr>
      <w:r>
        <w:tab/>
      </w:r>
      <w:r/>
    </w:p>
    <w:p>
      <w:pPr>
        <w:pStyle w:val="993"/>
        <w:contextualSpacing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93"/>
        <w:contextualSpacing/>
      </w:pPr>
      <w:r>
        <w:t xml:space="preserve">Проект вносит:</w:t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2126"/>
        <w:gridCol w:w="32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993"/>
              <w:contextualSpacing/>
              <w:jc w:val="both"/>
            </w:pPr>
            <w:r>
              <w:t xml:space="preserve">министр промышленности и торговли Удмуртской Республики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93"/>
              <w:contextualSpacing/>
            </w:pPr>
            <w:r>
              <w:rPr>
                <w:lang w:val="en-US"/>
              </w:rPr>
              <w:t xml:space="preserve">&lt;</w:t>
            </w:r>
            <w:r>
              <w:t xml:space="preserve">ЭП</w:t>
            </w:r>
            <w:r>
              <w:rPr>
                <w:lang w:val="en-US"/>
              </w:rPr>
              <w:t xml:space="preserve">&gt;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993"/>
              <w:contextualSpacing/>
              <w:jc w:val="right"/>
            </w:pPr>
            <w:r>
              <w:t xml:space="preserve">В.А. Лашкарев</w:t>
            </w:r>
            <w:r/>
          </w:p>
        </w:tc>
      </w:tr>
    </w:tbl>
    <w:p>
      <w:pPr>
        <w:pStyle w:val="993"/>
        <w:contextualSpacing/>
      </w:pPr>
      <w:r/>
      <w:r/>
    </w:p>
    <w:p>
      <w:pPr>
        <w:pStyle w:val="993"/>
        <w:contextualSpacing/>
      </w:pPr>
      <w:r/>
      <w:r/>
    </w:p>
    <w:p>
      <w:pPr>
        <w:pStyle w:val="993"/>
        <w:contextualSpacing/>
      </w:pPr>
      <w:r/>
      <w:r/>
    </w:p>
    <w:p>
      <w:pPr>
        <w:pStyle w:val="993"/>
        <w:contextualSpacing/>
      </w:pPr>
      <w:r/>
      <w:r/>
    </w:p>
    <w:p>
      <w:pPr>
        <w:pStyle w:val="993"/>
        <w:contextualSpacing/>
      </w:pPr>
      <w:r/>
      <w:r/>
    </w:p>
    <w:p>
      <w:pPr>
        <w:pStyle w:val="993"/>
        <w:contextualSpacing/>
      </w:pPr>
      <w:r/>
      <w:r/>
    </w:p>
    <w:p>
      <w:pPr>
        <w:pStyle w:val="993"/>
        <w:contextualSpacing/>
      </w:pPr>
      <w:r/>
      <w:r/>
    </w:p>
    <w:p>
      <w:pPr>
        <w:pStyle w:val="993"/>
        <w:contextualSpacing/>
      </w:pPr>
      <w:r>
        <w:t xml:space="preserve">_______________________________________________________________</w:t>
      </w:r>
      <w:r>
        <w:t xml:space="preserve">__</w:t>
      </w:r>
      <w:r>
        <w:t xml:space="preserve">_</w:t>
      </w:r>
      <w:r/>
    </w:p>
    <w:p>
      <w:pPr>
        <w:pStyle w:val="993"/>
        <w:contextualSpacing/>
        <w:jc w:val="both"/>
        <w:rPr>
          <w:sz w:val="22"/>
          <w:szCs w:val="22"/>
          <w:highlight w:val="none"/>
        </w:rPr>
      </w:pPr>
      <w:r>
        <w:rPr>
          <w:sz w:val="22"/>
        </w:rPr>
        <w:t xml:space="preserve">Разослать:</w:t>
      </w:r>
      <w:r>
        <w:rPr>
          <w:sz w:val="22"/>
        </w:rPr>
        <w:t xml:space="preserve"> </w:t>
      </w:r>
      <w:r>
        <w:rPr>
          <w:sz w:val="22"/>
        </w:rPr>
        <w:t xml:space="preserve">Разослать:</w:t>
      </w:r>
      <w:r>
        <w:rPr>
          <w:sz w:val="22"/>
        </w:rPr>
        <w:t xml:space="preserve"> с</w:t>
      </w:r>
      <w:r>
        <w:rPr>
          <w:sz w:val="22"/>
        </w:rPr>
        <w:t xml:space="preserve">екретариат Главы У</w:t>
      </w:r>
      <w:r>
        <w:rPr>
          <w:sz w:val="22"/>
        </w:rPr>
        <w:t xml:space="preserve">дмуртской </w:t>
      </w:r>
      <w:r>
        <w:rPr>
          <w:sz w:val="22"/>
        </w:rPr>
        <w:t xml:space="preserve">Р</w:t>
      </w:r>
      <w:r>
        <w:rPr>
          <w:sz w:val="22"/>
        </w:rPr>
        <w:t xml:space="preserve">еспублики</w:t>
      </w:r>
      <w:r>
        <w:rPr>
          <w:sz w:val="22"/>
        </w:rPr>
        <w:t xml:space="preserve">, </w:t>
      </w:r>
      <w:r>
        <w:rPr>
          <w:sz w:val="22"/>
        </w:rPr>
        <w:t xml:space="preserve">с</w:t>
      </w:r>
      <w:r>
        <w:rPr>
          <w:sz w:val="22"/>
        </w:rPr>
        <w:t xml:space="preserve">екретариат Председателя Правительства У</w:t>
      </w:r>
      <w:r>
        <w:rPr>
          <w:sz w:val="22"/>
        </w:rPr>
        <w:t xml:space="preserve">дмуртской </w:t>
      </w:r>
      <w:r>
        <w:rPr>
          <w:sz w:val="22"/>
        </w:rPr>
        <w:t xml:space="preserve">Р</w:t>
      </w:r>
      <w:r>
        <w:rPr>
          <w:sz w:val="22"/>
        </w:rPr>
        <w:t xml:space="preserve">еспублики, с</w:t>
      </w:r>
      <w:r>
        <w:rPr>
          <w:sz w:val="22"/>
        </w:rPr>
        <w:t xml:space="preserve">екретариат Первого заместителя Председателя Правительства У</w:t>
      </w:r>
      <w:r>
        <w:rPr>
          <w:sz w:val="22"/>
        </w:rPr>
        <w:t xml:space="preserve">дмуртской </w:t>
      </w:r>
      <w:r>
        <w:rPr>
          <w:sz w:val="22"/>
        </w:rPr>
        <w:t xml:space="preserve">Р</w:t>
      </w:r>
      <w:r>
        <w:rPr>
          <w:sz w:val="22"/>
        </w:rPr>
        <w:t xml:space="preserve">еспублики</w:t>
      </w:r>
      <w:r>
        <w:rPr>
          <w:sz w:val="22"/>
        </w:rPr>
        <w:t xml:space="preserve">, Минпромторг УР, М</w:t>
      </w:r>
      <w:r>
        <w:rPr>
          <w:sz w:val="22"/>
        </w:rPr>
        <w:t xml:space="preserve">инэкономики УР, Минфин Удмуртии,</w:t>
      </w:r>
      <w:r>
        <w:rPr>
          <w:sz w:val="22"/>
        </w:rPr>
        <w:t xml:space="preserve"> Госсовет УР, ГКК УР, Управление Минюста России по Удмуртской Республике, СПС, web-сайт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ind w:left="0" w:right="0" w:firstLine="46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46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46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Удмуртской Республики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46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«___» _________ 2024 года № 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отбора управляющей компании по управлению и (или) эксплуатации, техническому и санитарному содержанию научно-производственного центра испытаний и компетенций в области развития технологий беспилотных авиационных систем в Удмуртской Республике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Настоящие Правила разработаны в целях реализации Правил предоставления субсидий из федерального бюджета бюджетам субъектов Российской Федерации на создание сети научно-производственных центров испытаний и компетенций в области развития технологий беспило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ных авиационных систем, предусмотренных приложением № 15 к государственной программе Российской Федерации «Развитие промышленности и повышение её конкурентоспособности», утверждённой постановлением Правительства Российской Федерации от 15 апреля 2014 года </w:t>
      </w:r>
      <w:r>
        <w:rPr>
          <w:sz w:val="28"/>
          <w:szCs w:val="28"/>
        </w:rPr>
        <w:t xml:space="preserve">№ 328 «Об утверждении государственной программы Российской Федерации «Развитие промышленности и повышение ее конкурентоспособности» (далее – Правила федерального отбора).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Понятия и термины, используемые в настоящих Правилах, применяются в значениях, определенных Правилами федерального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Для определения управляющей компании по управлению и (или) эксплуатации, техническому и санитарному содержанию научно-производственного центра испытаний и компетенций в области развития технологий беспилотных авиационных систем (далее – управляющая компа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ия) с целью дальнейшего участия в федеральном отборе на получение субсидии из федерального бюджета на создание сети научно-производственных центров испытаний и компетенций в области развития технологий беспилотных авиационных систем (далее соответственно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 отбор, научно-производственные центры) Министерство промышленности и торговли Удмуртской Республики (далее – Министерство) в соответствии с настоящими Правилами проводит отбор организаций для осуществления функций управляющей компании научно-пр</w:t>
      </w:r>
      <w:r>
        <w:rPr>
          <w:sz w:val="28"/>
          <w:szCs w:val="28"/>
        </w:rPr>
        <w:t xml:space="preserve">оизводственного центра (далее соответственно – заявитель, отбор управляющей компании).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отбора управляющей компании Министерство формирует заявку на участие в федеральном отборе и направляет её в Министерство промышленности и торговли Российской Федерации в соответствии с Правилами федерального отбора.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участия в отборе управляющей компании заявитель должен соответствовать следующим требованиям на момент проведения отбора управляющей компании: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заявителем должна являться коммерческая или некоммерческая организация, в число учредителей которой входит Правительство Российской Федерации и (или) Правительство Удмуртской Республики, на территории которой находится научно-производственный центр, либо</w:t>
      </w:r>
      <w:r>
        <w:rPr>
          <w:sz w:val="28"/>
          <w:szCs w:val="28"/>
        </w:rPr>
        <w:t xml:space="preserve"> хозяйственное общество со 100-процентным участием такой организации;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 основной целью уставной деятельности заявителя должно являться управление научно-производственным центром испытаний и компетенций в области развития технологий беспилотных авиационных систем технологической инфраструктурой, используемой для реализации ме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оприятий по разработке, испытанию, производству и выводу на рынок беспилотных авиационных систем в рамках федерального проекта «Разработка, стандартизация и серийное производство беспилотных авиационных систем и комплектующих» национального проекта «Беспил</w:t>
      </w:r>
      <w:r>
        <w:rPr>
          <w:sz w:val="28"/>
          <w:szCs w:val="28"/>
        </w:rPr>
        <w:t xml:space="preserve">отные авиационные системы» в целях развития разработки и серийного производства беспилотных авиационных систем, а также их компонентов и материалов;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</w:t>
      </w:r>
      <w:r>
        <w:rPr>
          <w:sz w:val="28"/>
          <w:szCs w:val="28"/>
        </w:rPr>
        <w:t xml:space="preserve">через участие в капитале указанных публичных акционерных обществ;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>
        <w:rPr>
          <w:sz w:val="28"/>
          <w:szCs w:val="28"/>
        </w:rPr>
        <w:t xml:space="preserve">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заявитель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)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</w:t>
      </w:r>
      <w:r>
        <w:rPr>
          <w:sz w:val="28"/>
          <w:szCs w:val="28"/>
        </w:rPr>
        <w:t xml:space="preserve">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) у заявителя отсутствует просроченная задолженность по возврату в бюджет Удмуртской Республики иных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</w:t>
      </w:r>
      <w:r>
        <w:rPr>
          <w:sz w:val="28"/>
          <w:szCs w:val="28"/>
        </w:rPr>
        <w:t xml:space="preserve">по денежным обязательствам перед Удмуртской Республикой;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) заявитель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его не введена процедура банкротства, деятельность заявителя не приостановлена в порядке, </w:t>
      </w:r>
      <w:r>
        <w:rPr>
          <w:sz w:val="28"/>
          <w:szCs w:val="28"/>
        </w:rPr>
        <w:t xml:space="preserve">предусмотренном законодательством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 реестре дисквалифицированных лиц отсутствуют сведения о дисквалифицированных руководителе, члене коллегиального исполнительного органа, лице, исполняющем функции единоличного исполнительного органа, или главном бухгалтере заявителя.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Порядок проведения отбора управляющей компании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Министерство размещает объявление о проведении отбора управляющей компании на своём официальном сайте в информационно-телекоммуникационной сети «Интернет» (далее – официальный сайт) не позднее третьего квартала очередного года с указанием сроков, порядка</w:t>
      </w:r>
      <w:r>
        <w:rPr>
          <w:sz w:val="28"/>
          <w:szCs w:val="28"/>
        </w:rPr>
        <w:t xml:space="preserve"> и условий проведения отбора управляющей компании.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участия в отборе управляющей компании заявитель в сроки, указанные в объявлении о проведении отбора управляющей компании, представляет в Министерство следующие документы (далее – документы на участие в отборе управляющей компании):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на участие в отборе управляющей компании по форме, утверждённой Министерством (далее – заявление);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концепцию проекта, содержащую следующую информацию: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местоположение научно-производственного центра (научно-производственных центров);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адрес в пределах места нахождения управляющей компании;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специализации научно-производственного центра (научно-производственных центров);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резидентах и (или) потенциальных резидентах научно-производственного центра (научно-производственных центров), включая наименование резидента или потенциального резидента научно-производственного центра;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смета научно-производственного центра с выделением финансирования из внебюджетных источников;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мастер-план научно-производственного центра;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опии проектной документации и положительных заключений государственной экспертизы на проектную документацию создания, развития и (или) модернизации научно-производственных центров, заверенные в установленном порядке (не представляются, в случае если строит</w:t>
      </w:r>
      <w:r>
        <w:rPr>
          <w:sz w:val="28"/>
          <w:szCs w:val="28"/>
        </w:rPr>
        <w:t xml:space="preserve">ельство объектов капитального строительства не предусмотрено);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 копии годовых бухгалтерских отчетов за последние 3 финансовых года или за весь период деятельности заявителя, включающие бухгалтерские балансы, а также информацию о причинах возникновения убытков (в случае наличия убытков согласно представленным документ</w:t>
      </w:r>
      <w:r>
        <w:rPr>
          <w:sz w:val="28"/>
          <w:szCs w:val="28"/>
        </w:rPr>
        <w:t xml:space="preserve">ам), заверенных подписью руководителя (уполномоченного представителя) и печатью (при наличии печати);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согласие заявителя на публикацию (размещение) в информационно-телекоммуникационной сети «Интернет» информации об организации-заявителе, о подаваемом заявлении.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Документы на участие в отборе управляющей компании представляются в Министерство в одном экземпляре на бумажном носителе.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указанными документами на бумажном носителе заявитель представляет flash-носитель с электронными копиями (преобразованными в электронную форму путем сканирования) таких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несет все расходы, связанные с направлением в Министерство документов на участие в отборе управляющей компании, а также ответственность за их достоверность и соответствие электронных копий таких документов их экземплярам на бумажном носителе.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несоответствия электронной копии документа его экземпляру на бумажном носителе такие документы считаются недостоверными.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Документы на участие в отборе управляющей компании, представляемые на бумажном носителе: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представляются на русском языке в машинописном и (или) рукописном виде без подчисток, исправлений, помарок, неустановленных сокращений. В случае направления документов на иностранном языке одновременно с ними направляется их перевод на русский язык, верн</w:t>
      </w:r>
      <w:r>
        <w:rPr>
          <w:sz w:val="28"/>
          <w:szCs w:val="28"/>
        </w:rPr>
        <w:t xml:space="preserve">ость которого засвидетельствована нотариально;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должны быть сброшюрованы, страницы пронумерованы, прошиты, подписаны руководителем заявителя и заверены печатью (при её наличии).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Электронные копии документов на участие в отборе управляющей компании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</w:t>
      </w:r>
      <w:r>
        <w:rPr>
          <w:sz w:val="28"/>
          <w:szCs w:val="28"/>
        </w:rPr>
        <w:t xml:space="preserve">ормации, и не должны быть зашифрованы или защищены средствами, не позволяющими осуществить ознакомление с их содержимым без специальных программ или технологических средств.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 поступлении документов на участие в отборе управляющей компании Министерство в день их поступления регистрирует заявление.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1. Министерство в течение 20 рабочих дней со дня поступления документов на участие в отборе управляющей компании осуществляет их рассмотрение на соответствие заявителя требованиям, установленным пунктом 4 настоящих Правил, и принимает решение о принятии до</w:t>
      </w:r>
      <w:r>
        <w:rPr>
          <w:sz w:val="28"/>
          <w:szCs w:val="28"/>
        </w:rPr>
        <w:t xml:space="preserve">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оформляется приказом Министерства.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процессе рассмотрения документов на участие в отборе Министерство: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рамках межведомственного взаимодействия запрашивает документы в государственных органах, в распоряжении которых они находятся: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сведения о наличии (отсутствии) задолженности по уплате налогов, сборов, страховых взносов, пеней, штрафов, процентов;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выписку из Единого государственного реестра юридических лиц;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рассматривает представленные заявителем документы на соответствие заявителя требованиям, установленным пунктом 4 настоящих Правил;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рассматривает представленные заявителем документы на участие в отборе на соответствие требованиям, установленным пунктами 6 – 9 настоящих Правил;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 результатам рассмотрения документов на участие в отборе управляющей компании Министерство в течение 5 рабочих дней принимает решение об отборе заявителя или его отклонении. Решение оформляется в форме приказа Министерства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Основаниями для отклонения заявителя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несоответствие заявителя требованиям, установленным пунктом 4 настоящих Правил;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несоответствие представленных заявителем документов на участие в отборе требованиям, установленным пунктами 6 – 9 настоящих Правил или непредставление (представление не в полном объёме) указанных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поступление документов на участие в отборе после окончания срока их приёма, указанного в объявлении о проведении отбора управляющей компании;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недостоверность представленной заявителем информации, в том числе информации о месте нахождения и адресе юридического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течение 7 рабочих дней после принятия решения об отборе заявителя или о его отклонении Министерство размещает на своём официальном сайте уведомление об итогах отбора управляющей организации с указанием: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даты, времени и места проведения рассмотрения заявлений;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информации о заявителях, заявления которых были рассмотрены;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информации о заявителях, которые были отклонены, с указанием причин их отклонения, в том числе положений настоящих Правил, которым не соответствуют такие заявители;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наименований заявителей, с которыми планируется заключить договор (соглашение) о намерениях управляющей компании по управлению и (или) эксплуатации, техническому и санитарному содержанию научно-производственного центра (далее – Соглашение).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III. Действия, совершаемые после отбора управляющей компании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6. В течение 5 рабочих дней со дня оформления приказа, предусмотренного пунктом 13 настоящих Правил, Министерство направляет заявителю-победителю уведомление о необходимости заключения Соглашения, а также проект Соглашения в соответствии с типовой формой, </w:t>
      </w:r>
      <w:r>
        <w:rPr>
          <w:sz w:val="28"/>
          <w:szCs w:val="28"/>
        </w:rPr>
        <w:t xml:space="preserve">утвержденной Министерством.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аявитель-победитель в течение 5 рабочих дней со дня получения указанного в абзаце первом настоящего пункта уведомления подписывает Соглашение и представляет в Министерство два подписанных со своей стороны и заверенных печатью (при наличии) экземпляра Согла</w:t>
      </w:r>
      <w:r>
        <w:rPr>
          <w:sz w:val="28"/>
          <w:szCs w:val="28"/>
        </w:rPr>
        <w:t xml:space="preserve">шения на бумажном носителе.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в течение 5 рабочих дней подписывает Соглашение и направляет по почте один экземпляр Соглашения либо вручает нарочно.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неподписания заявителем-победителем Соглашения в срок, указанный в абзаце втором настоящего пункта, считается, что заявитель-победитель отказался от заключения Соглашения.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Типовая форма Соглашения должна предусматривать, в том числе следующие положения: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значения показателей, необходимых для достижения результата по созданию научно-производственного центра;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планируемый срок окончания создания научно-производственного центра и направления копий документов, подтверждающих осуществление указанных работ;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определение специализации и научно-исследовательских и опытно-конструкторских работ, осуществляемых в научно-производственном центре;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перечень мероприятий по привлечению потенциальных резидентов в научно-производственный центр;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сроки и формы представления отчетности в Министерство;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условие о согласовании новых условий Соглашения или условий расторжения Соглашения;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условие о возможности расторжения Соглашения в случае неисполнения обязательств.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Соглашения, подписанные в результате отбора, Министерством используются для подготовки заявки на участие в федеральном отборе в соответствии с Правилами федерального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аправление заявки на участие в федеральном отборе в Министерство промышленности и торговли Российской Федерации, её последующее рассмотрение Министерством промышленности и торговли Российской Федерации осуществляется в соответствии с Правилами федерального</w:t>
      </w:r>
      <w:r>
        <w:rPr>
          <w:sz w:val="28"/>
          <w:szCs w:val="28"/>
        </w:rPr>
        <w:t xml:space="preserve"> отбора.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9. В случае если представленная Удмуртской Республикой заявка на участие в федеральном отборе отобрана Министерством промышленности и торговли Российской Федерации Министерство в течение 10 рабочих дней со дня получения соответствующего решения из Министер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тва промышленности и торговли Российской Федерации направляет заявителю уведомление о заключении Министерством соглашения с Министерством промышленности и торговли Российской Федерации о предоставлении субсидии в соответствии с Правилами федерального отбор</w:t>
      </w:r>
      <w:r>
        <w:rPr>
          <w:sz w:val="28"/>
          <w:szCs w:val="28"/>
        </w:rPr>
        <w:t xml:space="preserve">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5" w:right="566" w:bottom="1135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onsolas">
    <w:panose1 w:val="020B0609020204030204"/>
  </w:font>
  <w:font w:name="Cambria">
    <w:panose1 w:val="02040803050406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7"/>
      <w:rPr>
        <w:rFonts w:cs="Arial"/>
      </w:rPr>
    </w:pPr>
    <w:r>
      <w:rPr>
        <w:rFonts w:cs="Arial"/>
      </w:rPr>
    </w:r>
    <w:r>
      <w:rPr>
        <w:rFonts w:cs="Arial"/>
      </w:rPr>
    </w:r>
    <w:r>
      <w:rPr>
        <w:rFonts w:cs="Arial"/>
      </w:rPr>
    </w:r>
  </w:p>
  <w:tbl>
    <w:tblPr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4928"/>
      <w:gridCol w:w="4927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Ex>
      <w:trPr/>
      <w:tc>
        <w:tcPr>
          <w:tcW w:w="5069" w:type="dxa"/>
          <w:vAlign w:val="top"/>
          <w:textDirection w:val="lrTb"/>
          <w:noWrap w:val="false"/>
        </w:tcPr>
        <w:p>
          <w:pPr>
            <w:pStyle w:val="1035"/>
            <w:rPr>
              <w:rFonts w:cs="Arial"/>
              <w:szCs w:val="18"/>
            </w:rPr>
          </w:pPr>
          <w:r>
            <w:rPr>
              <w:rFonts w:cs="Arial"/>
              <w:szCs w:val="18"/>
            </w:rPr>
          </w:r>
          <w:r>
            <w:rPr>
              <w:rFonts w:cs="Arial"/>
              <w:szCs w:val="18"/>
            </w:rPr>
          </w:r>
          <w:r>
            <w:rPr>
              <w:rFonts w:cs="Arial"/>
              <w:szCs w:val="18"/>
            </w:rPr>
          </w:r>
        </w:p>
      </w:tc>
      <w:tc>
        <w:tcPr>
          <w:tcW w:w="5069" w:type="dxa"/>
          <w:vAlign w:val="top"/>
          <w:textDirection w:val="lrTb"/>
          <w:noWrap w:val="false"/>
        </w:tcPr>
        <w:p>
          <w:pPr>
            <w:pStyle w:val="1037"/>
            <w:jc w:val="right"/>
          </w:pPr>
          <w:r/>
          <w:r/>
        </w:p>
      </w:tc>
    </w:tr>
  </w:tbl>
  <w:p>
    <w:pPr>
      <w:pStyle w:val="1037"/>
      <w:rPr>
        <w:rFonts w:cs="Arial"/>
      </w:rPr>
    </w:pPr>
    <w:r>
      <w:rPr>
        <w:rFonts w:cs="Arial"/>
      </w:rPr>
    </w:r>
    <w:r>
      <w:rPr>
        <w:rFonts w:cs="Arial"/>
      </w:rPr>
    </w:r>
    <w:r>
      <w:rPr>
        <w:rFonts w:cs="Arial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10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5"/>
    </w:pPr>
    <w:r/>
    <w:r/>
  </w:p>
  <w:p>
    <w:pPr>
      <w:pStyle w:val="10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0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3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40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284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84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0">
    <w:multiLevelType w:val="hybridMultilevel"/>
    <w:lvl w:ilvl="0">
      <w:start w:val="1"/>
      <w:numFmt w:val="decimal"/>
      <w:pStyle w:val="1024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01" w:hanging="567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284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84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995" w:hanging="46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1077" w:hanging="357"/>
        <w:tabs>
          <w:tab w:val="num" w:pos="1077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1435" w:hanging="355"/>
        <w:tabs>
          <w:tab w:val="num" w:pos="143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1797" w:hanging="357"/>
        <w:tabs>
          <w:tab w:val="num" w:pos="1797" w:leader="none"/>
        </w:tabs>
      </w:pPr>
      <w:rPr>
        <w:rFonts w:ascii="Symbol" w:hAnsi="Symbol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1985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552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567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0">
    <w:multiLevelType w:val="hybridMultilevel"/>
    <w:lvl w:ilvl="0">
      <w:start w:val="1"/>
      <w:numFmt w:val="decimal"/>
      <w:pStyle w:val="1034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pStyle w:val="1025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/>
        <w:b w:val="0"/>
        <w:i w:val="0"/>
        <w:color w:val="000000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/>
        <w:color w:val="000000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/>
        <w:color w:val="000000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ascii="Arial" w:hAnsi="Arial"/>
        <w:color w:val="000000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ascii="Arial" w:hAnsi="Arial"/>
        <w:color w:val="000000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ascii="Arial" w:hAnsi="Arial"/>
        <w:color w:val="000000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ascii="Arial" w:hAnsi="Arial"/>
        <w:color w:val="000000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ascii="Arial" w:hAnsi="Arial"/>
        <w:color w:val="000000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ascii="Arial" w:hAnsi="Arial"/>
        <w:color w:val="000000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4" w:hanging="284"/>
        <w:tabs>
          <w:tab w:val="num" w:pos="284" w:leader="none"/>
        </w:tabs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284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84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4" w:hanging="284"/>
        <w:tabs>
          <w:tab w:val="num" w:pos="0" w:leader="none"/>
        </w:tabs>
      </w:pPr>
      <w:rPr>
        <w:rFonts w:ascii="Arial" w:hAnsi="Arial"/>
        <w:color w:val="000000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851" w:hanging="284"/>
        <w:tabs>
          <w:tab w:val="num" w:pos="851" w:leader="none"/>
        </w:tabs>
      </w:pPr>
      <w:rPr>
        <w:rFonts w:ascii="Arial" w:hAnsi="Arial"/>
        <w:color w:val="000000"/>
      </w:rPr>
    </w:lvl>
    <w:lvl w:ilvl="2">
      <w:start w:val="1"/>
      <w:numFmt w:val="bullet"/>
      <w:isLgl w:val="false"/>
      <w:suff w:val="tab"/>
      <w:lvlText w:val="●"/>
      <w:lvlJc w:val="left"/>
      <w:pPr>
        <w:ind w:left="1418" w:hanging="284"/>
        <w:tabs>
          <w:tab w:val="num" w:pos="1418" w:leader="none"/>
        </w:tabs>
      </w:pPr>
      <w:rPr>
        <w:rFonts w:ascii="Arial" w:hAnsi="Arial"/>
        <w:color w:val="000000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4" w:hanging="284"/>
        <w:tabs>
          <w:tab w:val="num" w:pos="0" w:leader="none"/>
        </w:tabs>
      </w:pPr>
      <w:rPr>
        <w:rFonts w:ascii="Arial" w:hAnsi="Arial"/>
        <w:color w:val="000000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851" w:hanging="284"/>
        <w:tabs>
          <w:tab w:val="num" w:pos="851" w:leader="none"/>
        </w:tabs>
      </w:pPr>
      <w:rPr>
        <w:rFonts w:ascii="Arial" w:hAnsi="Arial"/>
        <w:color w:val="000000"/>
      </w:rPr>
    </w:lvl>
    <w:lvl w:ilvl="2">
      <w:start w:val="1"/>
      <w:numFmt w:val="bullet"/>
      <w:isLgl w:val="false"/>
      <w:suff w:val="tab"/>
      <w:lvlText w:val="●"/>
      <w:lvlJc w:val="left"/>
      <w:pPr>
        <w:ind w:left="1418" w:hanging="284"/>
        <w:tabs>
          <w:tab w:val="num" w:pos="1418" w:leader="none"/>
        </w:tabs>
      </w:pPr>
      <w:rPr>
        <w:rFonts w:ascii="Arial" w:hAnsi="Arial"/>
        <w:color w:val="000000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start w:val="0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decimal"/>
        <w:isLgl w:val="false"/>
        <w:suff w:val="tab"/>
        <w:lvlText w:val="%1.%2."/>
        <w:lvlJc w:val="left"/>
        <w:pPr>
          <w:ind w:left="992" w:hanging="425"/>
          <w:tabs>
            <w:tab w:val="num" w:pos="992" w:leader="none"/>
          </w:tabs>
        </w:p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isLgl w:val="false"/>
        <w:suff w:val="tab"/>
        <w:lvlText w:val=""/>
        <w:legacy w:legacy="1" w:legacyIndent="0" w:legacySpace="0"/>
        <w:lvlJc w:val="left"/>
        <w:pPr>
          <w:ind w:left="283" w:hanging="283"/>
        </w:pPr>
        <w:rPr>
          <w:rFonts w:ascii="Symbol" w:hAnsi="Symbol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5">
    <w:name w:val="Heading 1"/>
    <w:basedOn w:val="993"/>
    <w:next w:val="993"/>
    <w:link w:val="8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6">
    <w:name w:val="Heading 1 Char"/>
    <w:link w:val="815"/>
    <w:uiPriority w:val="9"/>
    <w:rPr>
      <w:rFonts w:ascii="Arial" w:hAnsi="Arial" w:eastAsia="Arial" w:cs="Arial"/>
      <w:sz w:val="40"/>
      <w:szCs w:val="40"/>
    </w:rPr>
  </w:style>
  <w:style w:type="paragraph" w:styleId="817">
    <w:name w:val="Heading 2"/>
    <w:basedOn w:val="993"/>
    <w:next w:val="993"/>
    <w:link w:val="8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8">
    <w:name w:val="Heading 2 Char"/>
    <w:link w:val="817"/>
    <w:uiPriority w:val="9"/>
    <w:rPr>
      <w:rFonts w:ascii="Arial" w:hAnsi="Arial" w:eastAsia="Arial" w:cs="Arial"/>
      <w:sz w:val="34"/>
    </w:rPr>
  </w:style>
  <w:style w:type="paragraph" w:styleId="819">
    <w:name w:val="Heading 3"/>
    <w:basedOn w:val="993"/>
    <w:next w:val="993"/>
    <w:link w:val="8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0">
    <w:name w:val="Heading 3 Char"/>
    <w:link w:val="819"/>
    <w:uiPriority w:val="9"/>
    <w:rPr>
      <w:rFonts w:ascii="Arial" w:hAnsi="Arial" w:eastAsia="Arial" w:cs="Arial"/>
      <w:sz w:val="30"/>
      <w:szCs w:val="30"/>
    </w:rPr>
  </w:style>
  <w:style w:type="paragraph" w:styleId="821">
    <w:name w:val="Heading 4"/>
    <w:basedOn w:val="993"/>
    <w:next w:val="993"/>
    <w:link w:val="8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2">
    <w:name w:val="Heading 4 Char"/>
    <w:link w:val="821"/>
    <w:uiPriority w:val="9"/>
    <w:rPr>
      <w:rFonts w:ascii="Arial" w:hAnsi="Arial" w:eastAsia="Arial" w:cs="Arial"/>
      <w:b/>
      <w:bCs/>
      <w:sz w:val="26"/>
      <w:szCs w:val="26"/>
    </w:rPr>
  </w:style>
  <w:style w:type="paragraph" w:styleId="823">
    <w:name w:val="Heading 5"/>
    <w:basedOn w:val="993"/>
    <w:next w:val="993"/>
    <w:link w:val="8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4">
    <w:name w:val="Heading 5 Char"/>
    <w:link w:val="823"/>
    <w:uiPriority w:val="9"/>
    <w:rPr>
      <w:rFonts w:ascii="Arial" w:hAnsi="Arial" w:eastAsia="Arial" w:cs="Arial"/>
      <w:b/>
      <w:bCs/>
      <w:sz w:val="24"/>
      <w:szCs w:val="24"/>
    </w:rPr>
  </w:style>
  <w:style w:type="paragraph" w:styleId="825">
    <w:name w:val="Heading 6"/>
    <w:basedOn w:val="993"/>
    <w:next w:val="993"/>
    <w:link w:val="8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6">
    <w:name w:val="Heading 6 Char"/>
    <w:link w:val="825"/>
    <w:uiPriority w:val="9"/>
    <w:rPr>
      <w:rFonts w:ascii="Arial" w:hAnsi="Arial" w:eastAsia="Arial" w:cs="Arial"/>
      <w:b/>
      <w:bCs/>
      <w:sz w:val="22"/>
      <w:szCs w:val="22"/>
    </w:rPr>
  </w:style>
  <w:style w:type="paragraph" w:styleId="827">
    <w:name w:val="Heading 7"/>
    <w:basedOn w:val="993"/>
    <w:next w:val="993"/>
    <w:link w:val="8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8">
    <w:name w:val="Heading 7 Char"/>
    <w:link w:val="8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9">
    <w:name w:val="Heading 8"/>
    <w:basedOn w:val="993"/>
    <w:next w:val="993"/>
    <w:link w:val="8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0">
    <w:name w:val="Heading 8 Char"/>
    <w:link w:val="829"/>
    <w:uiPriority w:val="9"/>
    <w:rPr>
      <w:rFonts w:ascii="Arial" w:hAnsi="Arial" w:eastAsia="Arial" w:cs="Arial"/>
      <w:i/>
      <w:iCs/>
      <w:sz w:val="22"/>
      <w:szCs w:val="22"/>
    </w:rPr>
  </w:style>
  <w:style w:type="paragraph" w:styleId="831">
    <w:name w:val="Heading 9"/>
    <w:basedOn w:val="993"/>
    <w:next w:val="993"/>
    <w:link w:val="8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2">
    <w:name w:val="Heading 9 Char"/>
    <w:link w:val="831"/>
    <w:uiPriority w:val="9"/>
    <w:rPr>
      <w:rFonts w:ascii="Arial" w:hAnsi="Arial" w:eastAsia="Arial" w:cs="Arial"/>
      <w:i/>
      <w:iCs/>
      <w:sz w:val="21"/>
      <w:szCs w:val="21"/>
    </w:rPr>
  </w:style>
  <w:style w:type="paragraph" w:styleId="833">
    <w:name w:val="List Paragraph"/>
    <w:basedOn w:val="993"/>
    <w:uiPriority w:val="34"/>
    <w:qFormat/>
    <w:pPr>
      <w:contextualSpacing/>
      <w:ind w:left="720"/>
    </w:pPr>
  </w:style>
  <w:style w:type="paragraph" w:styleId="834">
    <w:name w:val="No Spacing"/>
    <w:uiPriority w:val="1"/>
    <w:qFormat/>
    <w:pPr>
      <w:spacing w:before="0" w:after="0" w:line="240" w:lineRule="auto"/>
    </w:pPr>
  </w:style>
  <w:style w:type="paragraph" w:styleId="835">
    <w:name w:val="Title"/>
    <w:basedOn w:val="993"/>
    <w:next w:val="993"/>
    <w:link w:val="8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6">
    <w:name w:val="Title Char"/>
    <w:link w:val="835"/>
    <w:uiPriority w:val="10"/>
    <w:rPr>
      <w:sz w:val="48"/>
      <w:szCs w:val="48"/>
    </w:rPr>
  </w:style>
  <w:style w:type="paragraph" w:styleId="837">
    <w:name w:val="Subtitle"/>
    <w:basedOn w:val="993"/>
    <w:next w:val="993"/>
    <w:link w:val="838"/>
    <w:uiPriority w:val="11"/>
    <w:qFormat/>
    <w:pPr>
      <w:spacing w:before="200" w:after="200"/>
    </w:pPr>
    <w:rPr>
      <w:sz w:val="24"/>
      <w:szCs w:val="24"/>
    </w:rPr>
  </w:style>
  <w:style w:type="character" w:styleId="838">
    <w:name w:val="Subtitle Char"/>
    <w:link w:val="837"/>
    <w:uiPriority w:val="11"/>
    <w:rPr>
      <w:sz w:val="24"/>
      <w:szCs w:val="24"/>
    </w:rPr>
  </w:style>
  <w:style w:type="paragraph" w:styleId="839">
    <w:name w:val="Quote"/>
    <w:basedOn w:val="993"/>
    <w:next w:val="993"/>
    <w:link w:val="840"/>
    <w:uiPriority w:val="29"/>
    <w:qFormat/>
    <w:pPr>
      <w:ind w:left="720" w:right="720"/>
    </w:pPr>
    <w:rPr>
      <w:i/>
    </w:rPr>
  </w:style>
  <w:style w:type="character" w:styleId="840">
    <w:name w:val="Quote Char"/>
    <w:link w:val="839"/>
    <w:uiPriority w:val="29"/>
    <w:rPr>
      <w:i/>
    </w:rPr>
  </w:style>
  <w:style w:type="paragraph" w:styleId="841">
    <w:name w:val="Intense Quote"/>
    <w:basedOn w:val="993"/>
    <w:next w:val="993"/>
    <w:link w:val="84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2">
    <w:name w:val="Intense Quote Char"/>
    <w:link w:val="841"/>
    <w:uiPriority w:val="30"/>
    <w:rPr>
      <w:i/>
    </w:rPr>
  </w:style>
  <w:style w:type="paragraph" w:styleId="843">
    <w:name w:val="Header"/>
    <w:basedOn w:val="993"/>
    <w:link w:val="8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4">
    <w:name w:val="Header Char"/>
    <w:link w:val="843"/>
    <w:uiPriority w:val="99"/>
  </w:style>
  <w:style w:type="paragraph" w:styleId="845">
    <w:name w:val="Footer"/>
    <w:basedOn w:val="993"/>
    <w:link w:val="8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6">
    <w:name w:val="Footer Char"/>
    <w:link w:val="845"/>
    <w:uiPriority w:val="99"/>
  </w:style>
  <w:style w:type="paragraph" w:styleId="847">
    <w:name w:val="Caption"/>
    <w:basedOn w:val="993"/>
    <w:next w:val="9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8">
    <w:name w:val="Caption Char"/>
    <w:basedOn w:val="847"/>
    <w:link w:val="845"/>
    <w:uiPriority w:val="99"/>
  </w:style>
  <w:style w:type="table" w:styleId="84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5">
    <w:name w:val="Hyperlink"/>
    <w:uiPriority w:val="99"/>
    <w:unhideWhenUsed/>
    <w:rPr>
      <w:color w:val="0000ff" w:themeColor="hyperlink"/>
      <w:u w:val="single"/>
    </w:rPr>
  </w:style>
  <w:style w:type="paragraph" w:styleId="976">
    <w:name w:val="footnote text"/>
    <w:basedOn w:val="993"/>
    <w:link w:val="977"/>
    <w:uiPriority w:val="99"/>
    <w:semiHidden/>
    <w:unhideWhenUsed/>
    <w:pPr>
      <w:spacing w:after="40" w:line="240" w:lineRule="auto"/>
    </w:pPr>
    <w:rPr>
      <w:sz w:val="18"/>
    </w:rPr>
  </w:style>
  <w:style w:type="character" w:styleId="977">
    <w:name w:val="Footnote Text Char"/>
    <w:link w:val="976"/>
    <w:uiPriority w:val="99"/>
    <w:rPr>
      <w:sz w:val="18"/>
    </w:rPr>
  </w:style>
  <w:style w:type="character" w:styleId="978">
    <w:name w:val="footnote reference"/>
    <w:uiPriority w:val="99"/>
    <w:unhideWhenUsed/>
    <w:rPr>
      <w:vertAlign w:val="superscript"/>
    </w:rPr>
  </w:style>
  <w:style w:type="paragraph" w:styleId="979">
    <w:name w:val="endnote text"/>
    <w:basedOn w:val="993"/>
    <w:link w:val="980"/>
    <w:uiPriority w:val="99"/>
    <w:semiHidden/>
    <w:unhideWhenUsed/>
    <w:pPr>
      <w:spacing w:after="0" w:line="240" w:lineRule="auto"/>
    </w:pPr>
    <w:rPr>
      <w:sz w:val="20"/>
    </w:rPr>
  </w:style>
  <w:style w:type="character" w:styleId="980">
    <w:name w:val="Endnote Text Char"/>
    <w:link w:val="979"/>
    <w:uiPriority w:val="99"/>
    <w:rPr>
      <w:sz w:val="20"/>
    </w:rPr>
  </w:style>
  <w:style w:type="character" w:styleId="981">
    <w:name w:val="endnote reference"/>
    <w:uiPriority w:val="99"/>
    <w:semiHidden/>
    <w:unhideWhenUsed/>
    <w:rPr>
      <w:vertAlign w:val="superscript"/>
    </w:rPr>
  </w:style>
  <w:style w:type="paragraph" w:styleId="982">
    <w:name w:val="toc 1"/>
    <w:basedOn w:val="993"/>
    <w:next w:val="993"/>
    <w:uiPriority w:val="39"/>
    <w:unhideWhenUsed/>
    <w:pPr>
      <w:ind w:left="0" w:right="0" w:firstLine="0"/>
      <w:spacing w:after="57"/>
    </w:pPr>
  </w:style>
  <w:style w:type="paragraph" w:styleId="983">
    <w:name w:val="toc 2"/>
    <w:basedOn w:val="993"/>
    <w:next w:val="993"/>
    <w:uiPriority w:val="39"/>
    <w:unhideWhenUsed/>
    <w:pPr>
      <w:ind w:left="283" w:right="0" w:firstLine="0"/>
      <w:spacing w:after="57"/>
    </w:pPr>
  </w:style>
  <w:style w:type="paragraph" w:styleId="984">
    <w:name w:val="toc 3"/>
    <w:basedOn w:val="993"/>
    <w:next w:val="993"/>
    <w:uiPriority w:val="39"/>
    <w:unhideWhenUsed/>
    <w:pPr>
      <w:ind w:left="567" w:right="0" w:firstLine="0"/>
      <w:spacing w:after="57"/>
    </w:pPr>
  </w:style>
  <w:style w:type="paragraph" w:styleId="985">
    <w:name w:val="toc 4"/>
    <w:basedOn w:val="993"/>
    <w:next w:val="993"/>
    <w:uiPriority w:val="39"/>
    <w:unhideWhenUsed/>
    <w:pPr>
      <w:ind w:left="850" w:right="0" w:firstLine="0"/>
      <w:spacing w:after="57"/>
    </w:pPr>
  </w:style>
  <w:style w:type="paragraph" w:styleId="986">
    <w:name w:val="toc 5"/>
    <w:basedOn w:val="993"/>
    <w:next w:val="993"/>
    <w:uiPriority w:val="39"/>
    <w:unhideWhenUsed/>
    <w:pPr>
      <w:ind w:left="1134" w:right="0" w:firstLine="0"/>
      <w:spacing w:after="57"/>
    </w:pPr>
  </w:style>
  <w:style w:type="paragraph" w:styleId="987">
    <w:name w:val="toc 6"/>
    <w:basedOn w:val="993"/>
    <w:next w:val="993"/>
    <w:uiPriority w:val="39"/>
    <w:unhideWhenUsed/>
    <w:pPr>
      <w:ind w:left="1417" w:right="0" w:firstLine="0"/>
      <w:spacing w:after="57"/>
    </w:pPr>
  </w:style>
  <w:style w:type="paragraph" w:styleId="988">
    <w:name w:val="toc 7"/>
    <w:basedOn w:val="993"/>
    <w:next w:val="993"/>
    <w:uiPriority w:val="39"/>
    <w:unhideWhenUsed/>
    <w:pPr>
      <w:ind w:left="1701" w:right="0" w:firstLine="0"/>
      <w:spacing w:after="57"/>
    </w:pPr>
  </w:style>
  <w:style w:type="paragraph" w:styleId="989">
    <w:name w:val="toc 8"/>
    <w:basedOn w:val="993"/>
    <w:next w:val="993"/>
    <w:uiPriority w:val="39"/>
    <w:unhideWhenUsed/>
    <w:pPr>
      <w:ind w:left="1984" w:right="0" w:firstLine="0"/>
      <w:spacing w:after="57"/>
    </w:pPr>
  </w:style>
  <w:style w:type="paragraph" w:styleId="990">
    <w:name w:val="toc 9"/>
    <w:basedOn w:val="993"/>
    <w:next w:val="993"/>
    <w:uiPriority w:val="39"/>
    <w:unhideWhenUsed/>
    <w:pPr>
      <w:ind w:left="2268" w:right="0" w:firstLine="0"/>
      <w:spacing w:after="57"/>
    </w:pPr>
  </w:style>
  <w:style w:type="paragraph" w:styleId="991">
    <w:name w:val="TOC Heading"/>
    <w:uiPriority w:val="39"/>
    <w:unhideWhenUsed/>
  </w:style>
  <w:style w:type="paragraph" w:styleId="992">
    <w:name w:val="table of figures"/>
    <w:basedOn w:val="993"/>
    <w:next w:val="993"/>
    <w:uiPriority w:val="99"/>
    <w:unhideWhenUsed/>
    <w:pPr>
      <w:spacing w:after="0" w:afterAutospacing="0"/>
    </w:pPr>
  </w:style>
  <w:style w:type="paragraph" w:styleId="993" w:default="1">
    <w:name w:val="Normal"/>
    <w:next w:val="993"/>
    <w:link w:val="993"/>
    <w:qFormat/>
    <w:rPr>
      <w:rFonts w:ascii="Times New Roman" w:hAnsi="Times New Roman"/>
      <w:sz w:val="28"/>
      <w:szCs w:val="28"/>
      <w:lang w:val="ru-RU" w:eastAsia="en-US" w:bidi="ar-SA"/>
    </w:rPr>
  </w:style>
  <w:style w:type="paragraph" w:styleId="994">
    <w:name w:val="Заголовок 1,Глава"/>
    <w:basedOn w:val="1014"/>
    <w:next w:val="1014"/>
    <w:link w:val="1007"/>
    <w:qFormat/>
    <w:pPr>
      <w:jc w:val="left"/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995">
    <w:name w:val="Заголовок 2,Раздел"/>
    <w:basedOn w:val="1014"/>
    <w:next w:val="1014"/>
    <w:link w:val="1008"/>
    <w:qFormat/>
    <w:pPr>
      <w:jc w:val="left"/>
      <w:keepNext/>
      <w:spacing w:before="400" w:after="120"/>
      <w:outlineLvl w:val="1"/>
    </w:pPr>
    <w:rPr>
      <w:color w:val="1f497d"/>
      <w:sz w:val="28"/>
    </w:rPr>
  </w:style>
  <w:style w:type="paragraph" w:styleId="996">
    <w:name w:val="Заголовок 3,Подраздел"/>
    <w:basedOn w:val="1014"/>
    <w:next w:val="1014"/>
    <w:link w:val="1009"/>
    <w:qFormat/>
    <w:pPr>
      <w:jc w:val="left"/>
      <w:keepNext/>
      <w:spacing w:before="320" w:after="120"/>
      <w:outlineLvl w:val="2"/>
    </w:pPr>
    <w:rPr>
      <w:color w:val="1f497d"/>
      <w:sz w:val="24"/>
    </w:rPr>
  </w:style>
  <w:style w:type="paragraph" w:styleId="997">
    <w:name w:val="Заголовок 4,Дополнительный"/>
    <w:basedOn w:val="993"/>
    <w:next w:val="993"/>
    <w:link w:val="1010"/>
    <w:qFormat/>
    <w:pPr>
      <w:keepLines/>
      <w:keepNext/>
      <w:spacing w:before="200" w:after="120"/>
      <w:outlineLvl w:val="3"/>
    </w:pPr>
    <w:rPr>
      <w:rFonts w:ascii="Arial" w:hAnsi="Arial" w:eastAsia="Times New Roman"/>
      <w:i/>
      <w:color w:val="1f497d"/>
      <w:sz w:val="22"/>
      <w:szCs w:val="20"/>
      <w:lang w:eastAsia="ru-RU"/>
    </w:rPr>
  </w:style>
  <w:style w:type="paragraph" w:styleId="998">
    <w:name w:val="Заголовок 5,Номер главы"/>
    <w:basedOn w:val="993"/>
    <w:next w:val="993"/>
    <w:link w:val="1011"/>
    <w:qFormat/>
    <w:pPr>
      <w:keepNext/>
      <w:spacing w:before="160" w:after="120"/>
      <w:outlineLvl w:val="4"/>
    </w:pPr>
    <w:rPr>
      <w:rFonts w:ascii="Arial" w:hAnsi="Arial" w:eastAsia="Times New Roman"/>
      <w:b/>
      <w:color w:val="1f497d"/>
      <w:sz w:val="20"/>
      <w:szCs w:val="20"/>
      <w:lang w:eastAsia="ru-RU"/>
    </w:rPr>
  </w:style>
  <w:style w:type="paragraph" w:styleId="999">
    <w:name w:val="Заголовок 6"/>
    <w:basedOn w:val="993"/>
    <w:next w:val="993"/>
    <w:link w:val="1012"/>
    <w:qFormat/>
    <w:pPr>
      <w:jc w:val="both"/>
      <w:spacing w:before="240" w:after="60"/>
      <w:outlineLvl w:val="5"/>
    </w:pPr>
    <w:rPr>
      <w:rFonts w:ascii="Arial" w:hAnsi="Arial" w:eastAsia="Times New Roman"/>
      <w:sz w:val="20"/>
      <w:szCs w:val="20"/>
      <w:lang w:eastAsia="ru-RU"/>
    </w:rPr>
  </w:style>
  <w:style w:type="paragraph" w:styleId="1000">
    <w:name w:val="Заголовок 7"/>
    <w:basedOn w:val="993"/>
    <w:next w:val="993"/>
    <w:link w:val="1021"/>
    <w:uiPriority w:val="9"/>
    <w:semiHidden/>
    <w:qFormat/>
    <w:pPr>
      <w:jc w:val="both"/>
      <w:keepLines/>
      <w:keepNext/>
      <w:spacing w:before="200"/>
      <w:outlineLvl w:val="6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1001">
    <w:name w:val="Заголовок 8"/>
    <w:basedOn w:val="993"/>
    <w:next w:val="993"/>
    <w:link w:val="1022"/>
    <w:uiPriority w:val="9"/>
    <w:unhideWhenUsed/>
    <w:qFormat/>
    <w:pPr>
      <w:keepLines/>
      <w:keepNext/>
      <w:spacing w:before="200"/>
      <w:outlineLvl w:val="7"/>
    </w:pPr>
    <w:rPr>
      <w:rFonts w:ascii="Arial" w:hAnsi="Arial" w:eastAsia="Times New Roman" w:cs="Times New Roman"/>
      <w:color w:val="404040"/>
      <w:sz w:val="20"/>
      <w:szCs w:val="20"/>
    </w:rPr>
  </w:style>
  <w:style w:type="paragraph" w:styleId="1002">
    <w:name w:val="Заголовок 9"/>
    <w:basedOn w:val="993"/>
    <w:next w:val="993"/>
    <w:link w:val="1023"/>
    <w:uiPriority w:val="9"/>
    <w:unhideWhenUsed/>
    <w:qFormat/>
    <w:pPr>
      <w:keepLines/>
      <w:keepNext/>
      <w:spacing w:before="200"/>
      <w:outlineLvl w:val="8"/>
    </w:pPr>
    <w:rPr>
      <w:rFonts w:ascii="Arial" w:hAnsi="Arial" w:eastAsia="Times New Roman" w:cs="Times New Roman"/>
      <w:iCs/>
      <w:color w:val="404040"/>
      <w:sz w:val="20"/>
      <w:szCs w:val="20"/>
    </w:rPr>
  </w:style>
  <w:style w:type="character" w:styleId="1003">
    <w:name w:val="Основной шрифт абзаца"/>
    <w:next w:val="1003"/>
    <w:link w:val="993"/>
    <w:uiPriority w:val="1"/>
    <w:semiHidden/>
    <w:unhideWhenUsed/>
  </w:style>
  <w:style w:type="table" w:styleId="1004">
    <w:name w:val="Обычная таблица"/>
    <w:next w:val="1004"/>
    <w:link w:val="993"/>
    <w:uiPriority w:val="99"/>
    <w:semiHidden/>
    <w:unhideWhenUsed/>
    <w:tblPr/>
  </w:style>
  <w:style w:type="numbering" w:styleId="1005">
    <w:name w:val="Нет списка"/>
    <w:next w:val="1005"/>
    <w:link w:val="993"/>
    <w:uiPriority w:val="99"/>
    <w:semiHidden/>
    <w:unhideWhenUsed/>
  </w:style>
  <w:style w:type="character" w:styleId="1006">
    <w:name w:val="Гиперссылка"/>
    <w:next w:val="1006"/>
    <w:link w:val="993"/>
    <w:qFormat/>
    <w:rPr>
      <w:rFonts w:eastAsia="Times New Roman"/>
      <w:color w:val="4f81bd"/>
      <w:u w:val="single"/>
      <w:lang w:val="ru-RU" w:eastAsia="ru-RU"/>
    </w:rPr>
  </w:style>
  <w:style w:type="character" w:styleId="1007">
    <w:name w:val="Заголовок 1 Знак,Глава Знак"/>
    <w:next w:val="1007"/>
    <w:link w:val="994"/>
    <w:rPr>
      <w:rFonts w:eastAsia="Times New Roman" w:cs="Arial"/>
      <w:color w:val="1f497d"/>
      <w:sz w:val="36"/>
      <w:szCs w:val="32"/>
      <w:lang w:eastAsia="ru-RU"/>
    </w:rPr>
  </w:style>
  <w:style w:type="character" w:styleId="1008">
    <w:name w:val="Заголовок 2 Знак,Раздел Знак"/>
    <w:next w:val="1008"/>
    <w:link w:val="995"/>
    <w:rPr>
      <w:rFonts w:eastAsia="Times New Roman"/>
      <w:color w:val="1f497d"/>
      <w:sz w:val="28"/>
      <w:lang w:eastAsia="ru-RU"/>
    </w:rPr>
  </w:style>
  <w:style w:type="character" w:styleId="1009">
    <w:name w:val="Заголовок 3 Знак,Подраздел Знак"/>
    <w:next w:val="1009"/>
    <w:link w:val="996"/>
    <w:rPr>
      <w:rFonts w:eastAsia="Times New Roman"/>
      <w:color w:val="1f497d"/>
      <w:sz w:val="24"/>
      <w:lang w:eastAsia="ru-RU"/>
    </w:rPr>
  </w:style>
  <w:style w:type="character" w:styleId="1010">
    <w:name w:val="Заголовок 4 Знак,Дополнительный Знак"/>
    <w:next w:val="1010"/>
    <w:link w:val="997"/>
    <w:rPr>
      <w:rFonts w:eastAsia="Times New Roman"/>
      <w:i/>
      <w:color w:val="1f497d"/>
      <w:sz w:val="22"/>
      <w:lang w:eastAsia="ru-RU"/>
    </w:rPr>
  </w:style>
  <w:style w:type="character" w:styleId="1011">
    <w:name w:val="Заголовок 5 Знак,Номер главы Знак"/>
    <w:next w:val="1011"/>
    <w:link w:val="998"/>
    <w:rPr>
      <w:rFonts w:eastAsia="Times New Roman"/>
      <w:b/>
      <w:color w:val="1f497d"/>
      <w:lang w:eastAsia="ru-RU"/>
    </w:rPr>
  </w:style>
  <w:style w:type="character" w:styleId="1012">
    <w:name w:val="Заголовок 6 Знак"/>
    <w:next w:val="1012"/>
    <w:link w:val="999"/>
    <w:rPr>
      <w:rFonts w:eastAsia="Times New Roman"/>
      <w:lang w:eastAsia="ru-RU"/>
    </w:rPr>
  </w:style>
  <w:style w:type="paragraph" w:styleId="1013">
    <w:name w:val="Кнопка"/>
    <w:basedOn w:val="1014"/>
    <w:next w:val="1014"/>
    <w:link w:val="1020"/>
    <w:qFormat/>
    <w:pPr>
      <w:spacing w:before="0"/>
    </w:pPr>
    <w:rPr>
      <w:b/>
      <w:u w:val="single"/>
    </w:rPr>
  </w:style>
  <w:style w:type="paragraph" w:styleId="1014">
    <w:name w:val="Основной текст"/>
    <w:basedOn w:val="993"/>
    <w:next w:val="1014"/>
    <w:link w:val="1015"/>
    <w:qFormat/>
    <w:pPr>
      <w:jc w:val="both"/>
      <w:spacing w:before="160"/>
    </w:pPr>
    <w:rPr>
      <w:rFonts w:ascii="Arial" w:hAnsi="Arial" w:eastAsia="Times New Roman"/>
      <w:sz w:val="20"/>
      <w:szCs w:val="20"/>
      <w:lang w:eastAsia="ru-RU"/>
    </w:rPr>
  </w:style>
  <w:style w:type="character" w:styleId="1015">
    <w:name w:val="Основной текст Знак"/>
    <w:next w:val="1015"/>
    <w:link w:val="1014"/>
    <w:rPr>
      <w:rFonts w:eastAsia="Times New Roman"/>
      <w:lang w:eastAsia="ru-RU"/>
    </w:rPr>
  </w:style>
  <w:style w:type="paragraph" w:styleId="1016">
    <w:name w:val="Название справочника"/>
    <w:basedOn w:val="1014"/>
    <w:next w:val="1014"/>
    <w:link w:val="1041"/>
    <w:qFormat/>
    <w:pPr>
      <w:spacing w:before="0"/>
    </w:pPr>
    <w:rPr>
      <w:b/>
    </w:rPr>
  </w:style>
  <w:style w:type="paragraph" w:styleId="1017">
    <w:name w:val="Название поля/пункт меню"/>
    <w:basedOn w:val="1014"/>
    <w:next w:val="1017"/>
    <w:link w:val="1043"/>
    <w:qFormat/>
    <w:pPr>
      <w:spacing w:before="0"/>
    </w:pPr>
    <w:rPr>
      <w:i/>
    </w:rPr>
  </w:style>
  <w:style w:type="character" w:styleId="1018">
    <w:name w:val="Определение"/>
    <w:next w:val="1018"/>
    <w:link w:val="993"/>
    <w:qFormat/>
    <w:rPr>
      <w:rFonts w:eastAsia="Times New Roman"/>
      <w:i/>
      <w:color w:val="1f497d"/>
      <w:u w:val="none"/>
      <w:lang w:val="ru-RU" w:eastAsia="ru-RU"/>
    </w:rPr>
  </w:style>
  <w:style w:type="character" w:styleId="1019">
    <w:name w:val="Участник процесса"/>
    <w:next w:val="1019"/>
    <w:link w:val="993"/>
    <w:qFormat/>
    <w:rPr>
      <w:rFonts w:ascii="Arial" w:hAnsi="Arial" w:eastAsia="Times New Roman"/>
      <w:b/>
      <w:i/>
      <w:sz w:val="20"/>
      <w:lang w:val="ru-RU" w:eastAsia="ru-RU"/>
    </w:rPr>
  </w:style>
  <w:style w:type="character" w:styleId="1020">
    <w:name w:val="Кнопка Знак"/>
    <w:next w:val="1020"/>
    <w:link w:val="1013"/>
    <w:rPr>
      <w:rFonts w:eastAsia="Times New Roman"/>
      <w:b/>
      <w:u w:val="single"/>
      <w:lang w:eastAsia="ru-RU"/>
    </w:rPr>
  </w:style>
  <w:style w:type="character" w:styleId="1021">
    <w:name w:val="Заголовок 7 Знак"/>
    <w:next w:val="1021"/>
    <w:link w:val="1000"/>
    <w:uiPriority w:val="9"/>
    <w:semiHidden/>
    <w:rPr>
      <w:rFonts w:ascii="Cambria" w:hAnsi="Cambria" w:eastAsia="Times New Roman" w:cs="Times New Roman"/>
      <w:i/>
      <w:iCs/>
      <w:color w:val="404040"/>
    </w:rPr>
  </w:style>
  <w:style w:type="character" w:styleId="1022">
    <w:name w:val="Заголовок 8 Знак"/>
    <w:next w:val="1022"/>
    <w:link w:val="1001"/>
    <w:uiPriority w:val="9"/>
    <w:rPr>
      <w:rFonts w:eastAsia="Times New Roman" w:cs="Times New Roman"/>
      <w:color w:val="404040"/>
    </w:rPr>
  </w:style>
  <w:style w:type="character" w:styleId="1023">
    <w:name w:val="Заголовок 9 Знак"/>
    <w:next w:val="1023"/>
    <w:link w:val="1002"/>
    <w:uiPriority w:val="9"/>
    <w:rPr>
      <w:rFonts w:eastAsia="Times New Roman" w:cs="Times New Roman"/>
      <w:iCs/>
      <w:color w:val="404040"/>
    </w:rPr>
  </w:style>
  <w:style w:type="paragraph" w:styleId="1024">
    <w:name w:val="Нумерованный список"/>
    <w:basedOn w:val="1032"/>
    <w:next w:val="1024"/>
    <w:link w:val="993"/>
    <w:uiPriority w:val="99"/>
    <w:unhideWhenUsed/>
    <w:pPr>
      <w:numPr>
        <w:ilvl w:val="0"/>
        <w:numId w:val="31"/>
      </w:numPr>
      <w:spacing w:before="160"/>
    </w:pPr>
  </w:style>
  <w:style w:type="paragraph" w:styleId="1025">
    <w:name w:val="Маркированный список"/>
    <w:basedOn w:val="1032"/>
    <w:next w:val="1025"/>
    <w:link w:val="993"/>
    <w:qFormat/>
    <w:pPr>
      <w:numPr>
        <w:ilvl w:val="0"/>
        <w:numId w:val="43"/>
      </w:numPr>
    </w:pPr>
  </w:style>
  <w:style w:type="paragraph" w:styleId="1026">
    <w:name w:val="Пример кода"/>
    <w:basedOn w:val="1014"/>
    <w:next w:val="1026"/>
    <w:link w:val="993"/>
    <w:qFormat/>
    <w:pPr>
      <w:spacing w:before="0"/>
      <w:shd w:val="clear" w:color="auto" w:fill="f2f2f2"/>
    </w:pPr>
    <w:rPr>
      <w:rFonts w:ascii="Consolas" w:hAnsi="Consolas"/>
    </w:rPr>
  </w:style>
  <w:style w:type="paragraph" w:styleId="1027">
    <w:name w:val="Примечание"/>
    <w:basedOn w:val="1014"/>
    <w:next w:val="1027"/>
    <w:link w:val="993"/>
    <w:qFormat/>
    <w:pPr>
      <w:keepLines/>
      <w:keepNext/>
      <w:pBdr>
        <w:top w:val="single" w:color="808080" w:sz="4" w:space="4"/>
        <w:left w:val="single" w:color="808080" w:sz="4" w:space="4"/>
        <w:bottom w:val="single" w:color="808080" w:sz="4" w:space="4"/>
        <w:right w:val="single" w:color="808080" w:sz="4" w:space="4"/>
      </w:pBdr>
    </w:pPr>
  </w:style>
  <w:style w:type="paragraph" w:styleId="1028">
    <w:name w:val="Название"/>
    <w:basedOn w:val="1014"/>
    <w:next w:val="993"/>
    <w:link w:val="1029"/>
    <w:uiPriority w:val="10"/>
    <w:qFormat/>
    <w:pPr>
      <w:jc w:val="left"/>
      <w:spacing w:before="0" w:after="360"/>
      <w:pBdr>
        <w:bottom w:val="single" w:color="1F497D" w:sz="18" w:space="1"/>
      </w:pBdr>
    </w:pPr>
    <w:rPr>
      <w:color w:val="1f497d"/>
      <w:sz w:val="40"/>
    </w:rPr>
  </w:style>
  <w:style w:type="character" w:styleId="1029">
    <w:name w:val="Название Знак"/>
    <w:next w:val="1029"/>
    <w:link w:val="1028"/>
    <w:uiPriority w:val="10"/>
    <w:rPr>
      <w:rFonts w:eastAsia="Times New Roman"/>
      <w:color w:val="1f497d"/>
      <w:sz w:val="40"/>
      <w:lang w:eastAsia="ru-RU"/>
    </w:rPr>
  </w:style>
  <w:style w:type="table" w:styleId="1030">
    <w:name w:val="Сетка таблицы"/>
    <w:basedOn w:val="1004"/>
    <w:next w:val="1030"/>
    <w:link w:val="993"/>
    <w:uiPriority w:val="59"/>
    <w:pPr>
      <w:spacing w:before="0"/>
    </w:pPr>
    <w:tblPr/>
  </w:style>
  <w:style w:type="table" w:styleId="1031">
    <w:name w:val="Таблица НПО"/>
    <w:basedOn w:val="1004"/>
    <w:next w:val="1031"/>
    <w:link w:val="993"/>
    <w:uiPriority w:val="99"/>
    <w:qFormat/>
    <w:pPr>
      <w:jc w:val="left"/>
      <w:spacing w:before="0"/>
    </w:pPr>
    <w:rPr>
      <w:rFonts w:eastAsia="Calibri"/>
      <w:lang w:eastAsia="ru-RU"/>
    </w:rPr>
    <w:tblPr/>
  </w:style>
  <w:style w:type="paragraph" w:styleId="1032">
    <w:name w:val="Абзац списка"/>
    <w:basedOn w:val="993"/>
    <w:next w:val="1032"/>
    <w:link w:val="993"/>
    <w:uiPriority w:val="34"/>
    <w:qFormat/>
    <w:pPr>
      <w:ind w:left="709" w:hanging="284"/>
      <w:jc w:val="both"/>
      <w:spacing w:before="60"/>
    </w:pPr>
    <w:rPr>
      <w:rFonts w:ascii="Arial" w:hAnsi="Arial" w:eastAsia="Calibri"/>
      <w:sz w:val="20"/>
      <w:szCs w:val="20"/>
    </w:rPr>
  </w:style>
  <w:style w:type="paragraph" w:styleId="1033">
    <w:name w:val="Название объекта"/>
    <w:basedOn w:val="993"/>
    <w:next w:val="993"/>
    <w:link w:val="993"/>
    <w:uiPriority w:val="35"/>
    <w:unhideWhenUsed/>
    <w:qFormat/>
    <w:pPr>
      <w:jc w:val="right"/>
      <w:spacing w:before="120" w:after="120"/>
    </w:pPr>
    <w:rPr>
      <w:rFonts w:ascii="Arial" w:hAnsi="Arial" w:eastAsia="Calibri"/>
      <w:bCs/>
      <w:sz w:val="20"/>
      <w:szCs w:val="18"/>
    </w:rPr>
  </w:style>
  <w:style w:type="numbering" w:styleId="1034">
    <w:name w:val="Список эталон"/>
    <w:next w:val="1034"/>
    <w:link w:val="993"/>
    <w:uiPriority w:val="99"/>
    <w:pPr>
      <w:numPr>
        <w:ilvl w:val="0"/>
        <w:numId w:val="41"/>
      </w:numPr>
    </w:pPr>
  </w:style>
  <w:style w:type="paragraph" w:styleId="1035">
    <w:name w:val="Верхний колонтитул"/>
    <w:basedOn w:val="993"/>
    <w:next w:val="1035"/>
    <w:link w:val="1036"/>
    <w:uiPriority w:val="99"/>
    <w:unhideWhenUsed/>
    <w:pPr>
      <w:tabs>
        <w:tab w:val="center" w:pos="4677" w:leader="none"/>
        <w:tab w:val="right" w:pos="9355" w:leader="none"/>
      </w:tabs>
    </w:pPr>
    <w:rPr>
      <w:rFonts w:ascii="Arial" w:hAnsi="Arial"/>
      <w:color w:val="404040"/>
      <w:sz w:val="18"/>
      <w:szCs w:val="20"/>
    </w:rPr>
  </w:style>
  <w:style w:type="character" w:styleId="1036">
    <w:name w:val="Верхний колонтитул Знак"/>
    <w:next w:val="1036"/>
    <w:link w:val="1035"/>
    <w:uiPriority w:val="99"/>
    <w:rPr>
      <w:rFonts w:eastAsia="Calibri"/>
      <w:color w:val="404040"/>
      <w:sz w:val="18"/>
    </w:rPr>
  </w:style>
  <w:style w:type="paragraph" w:styleId="1037">
    <w:name w:val="Нижний колонтитул"/>
    <w:basedOn w:val="993"/>
    <w:next w:val="1037"/>
    <w:link w:val="1038"/>
    <w:uiPriority w:val="99"/>
    <w:unhideWhenUsed/>
    <w:pPr>
      <w:tabs>
        <w:tab w:val="center" w:pos="4677" w:leader="none"/>
        <w:tab w:val="right" w:pos="9355" w:leader="none"/>
      </w:tabs>
    </w:pPr>
    <w:rPr>
      <w:rFonts w:ascii="Arial" w:hAnsi="Arial"/>
      <w:color w:val="404040"/>
      <w:sz w:val="18"/>
      <w:szCs w:val="20"/>
    </w:rPr>
  </w:style>
  <w:style w:type="character" w:styleId="1038">
    <w:name w:val="Нижний колонтитул Знак"/>
    <w:next w:val="1038"/>
    <w:link w:val="1037"/>
    <w:uiPriority w:val="99"/>
    <w:rPr>
      <w:rFonts w:eastAsia="Calibri"/>
      <w:color w:val="404040"/>
      <w:sz w:val="18"/>
    </w:rPr>
  </w:style>
  <w:style w:type="paragraph" w:styleId="1039">
    <w:name w:val="Текст выноски"/>
    <w:basedOn w:val="993"/>
    <w:next w:val="1039"/>
    <w:link w:val="1040"/>
    <w:uiPriority w:val="99"/>
    <w:semiHidden/>
    <w:unhideWhenUsed/>
    <w:pPr>
      <w:jc w:val="both"/>
    </w:pPr>
    <w:rPr>
      <w:rFonts w:ascii="Tahoma" w:hAnsi="Tahoma" w:eastAsia="Calibri" w:cs="Tahoma"/>
      <w:sz w:val="16"/>
      <w:szCs w:val="16"/>
    </w:rPr>
  </w:style>
  <w:style w:type="character" w:styleId="1040">
    <w:name w:val="Текст выноски Знак"/>
    <w:next w:val="1040"/>
    <w:link w:val="1039"/>
    <w:uiPriority w:val="99"/>
    <w:semiHidden/>
    <w:rPr>
      <w:rFonts w:ascii="Tahoma" w:hAnsi="Tahoma" w:cs="Tahoma"/>
      <w:sz w:val="16"/>
      <w:szCs w:val="16"/>
    </w:rPr>
  </w:style>
  <w:style w:type="character" w:styleId="1041">
    <w:name w:val="Название справочника Знак"/>
    <w:next w:val="1041"/>
    <w:link w:val="1016"/>
    <w:rPr>
      <w:rFonts w:eastAsia="Times New Roman"/>
      <w:b/>
      <w:lang w:eastAsia="ru-RU"/>
    </w:rPr>
  </w:style>
  <w:style w:type="character" w:styleId="1042">
    <w:name w:val="Пояснение к заполнению"/>
    <w:next w:val="1042"/>
    <w:link w:val="993"/>
    <w:uiPriority w:val="1"/>
    <w:qFormat/>
    <w:rPr>
      <w:rFonts w:ascii="Arial" w:hAnsi="Arial"/>
      <w:i/>
      <w:color w:val="c0504d"/>
      <w:sz w:val="20"/>
    </w:rPr>
  </w:style>
  <w:style w:type="character" w:styleId="1043">
    <w:name w:val="Название поля/пункт меню Знак"/>
    <w:next w:val="1043"/>
    <w:link w:val="1017"/>
    <w:rPr>
      <w:rFonts w:eastAsia="Times New Roman"/>
      <w:i/>
      <w:lang w:eastAsia="ru-RU"/>
    </w:rPr>
  </w:style>
  <w:style w:type="paragraph" w:styleId="1044">
    <w:name w:val="Текст примечания"/>
    <w:basedOn w:val="993"/>
    <w:next w:val="1044"/>
    <w:link w:val="1045"/>
    <w:pPr>
      <w:jc w:val="both"/>
    </w:pPr>
    <w:rPr>
      <w:rFonts w:ascii="Arial" w:hAnsi="Arial" w:eastAsia="Times New Roman"/>
      <w:sz w:val="20"/>
      <w:szCs w:val="20"/>
      <w:lang w:eastAsia="ru-RU"/>
    </w:rPr>
  </w:style>
  <w:style w:type="character" w:styleId="1045">
    <w:name w:val="Текст примечания Знак"/>
    <w:next w:val="1045"/>
    <w:link w:val="1044"/>
    <w:rPr>
      <w:rFonts w:eastAsia="Times New Roman"/>
      <w:lang w:eastAsia="ru-RU"/>
    </w:rPr>
  </w:style>
  <w:style w:type="paragraph" w:styleId="1046">
    <w:name w:val="Текст таблицы"/>
    <w:basedOn w:val="1014"/>
    <w:next w:val="1046"/>
    <w:link w:val="993"/>
    <w:qFormat/>
    <w:pPr>
      <w:jc w:val="left"/>
      <w:spacing w:before="0"/>
    </w:pPr>
  </w:style>
  <w:style w:type="character" w:styleId="1047">
    <w:name w:val="Знак примечания"/>
    <w:next w:val="1047"/>
    <w:link w:val="993"/>
    <w:uiPriority w:val="99"/>
    <w:semiHidden/>
    <w:unhideWhenUsed/>
    <w:rPr>
      <w:sz w:val="16"/>
      <w:szCs w:val="16"/>
    </w:rPr>
  </w:style>
  <w:style w:type="paragraph" w:styleId="1048">
    <w:name w:val="Тема примечания"/>
    <w:basedOn w:val="1044"/>
    <w:next w:val="1044"/>
    <w:link w:val="1049"/>
    <w:uiPriority w:val="99"/>
    <w:semiHidden/>
    <w:unhideWhenUsed/>
    <w:pPr>
      <w:jc w:val="left"/>
    </w:pPr>
    <w:rPr>
      <w:rFonts w:ascii="Times New Roman" w:hAnsi="Times New Roman" w:eastAsia="Calibri"/>
      <w:b/>
      <w:bCs/>
      <w:lang w:eastAsia="en-US"/>
    </w:rPr>
  </w:style>
  <w:style w:type="character" w:styleId="1049">
    <w:name w:val="Тема примечания Знак"/>
    <w:next w:val="1049"/>
    <w:link w:val="1048"/>
    <w:uiPriority w:val="99"/>
    <w:semiHidden/>
    <w:rPr>
      <w:rFonts w:ascii="Times New Roman" w:hAnsi="Times New Roman" w:eastAsia="Calibri"/>
      <w:b/>
      <w:bCs/>
      <w:lang w:eastAsia="ru-RU"/>
    </w:rPr>
  </w:style>
  <w:style w:type="paragraph" w:styleId="1050">
    <w:name w:val="Рецензия"/>
    <w:next w:val="1050"/>
    <w:link w:val="993"/>
    <w:hidden/>
    <w:uiPriority w:val="99"/>
    <w:semiHidden/>
    <w:rPr>
      <w:rFonts w:ascii="Times New Roman" w:hAnsi="Times New Roman"/>
      <w:sz w:val="28"/>
      <w:szCs w:val="28"/>
      <w:lang w:val="ru-RU" w:eastAsia="en-US" w:bidi="ar-SA"/>
    </w:rPr>
  </w:style>
  <w:style w:type="character" w:styleId="1051" w:default="1">
    <w:name w:val="Default Paragraph Font"/>
    <w:uiPriority w:val="1"/>
    <w:semiHidden/>
    <w:unhideWhenUsed/>
  </w:style>
  <w:style w:type="numbering" w:styleId="1052" w:default="1">
    <w:name w:val="No List"/>
    <w:uiPriority w:val="99"/>
    <w:semiHidden/>
    <w:unhideWhenUsed/>
  </w:style>
  <w:style w:type="table" w:styleId="10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Кассихин Станислав (Kassikhin_SS)</dc:creator>
  <cp:lastModifiedBy>sibgatova_na</cp:lastModifiedBy>
  <cp:revision>4</cp:revision>
  <dcterms:created xsi:type="dcterms:W3CDTF">2025-01-27T10:09:00Z</dcterms:created>
  <dcterms:modified xsi:type="dcterms:W3CDTF">2025-01-28T09:50:45Z</dcterms:modified>
  <cp:version>983040</cp:version>
</cp:coreProperties>
</file>