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40"/>
        <w:ind w:firstLine="700" w:left="8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Подпрограмма «Развитие потребительского рынка в Удмуртской Республике»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B2B2B2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Существенный вклад в формирование общего экономического потенциала региона вносит потребительский рынок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B2B2B2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 территории республики осуществляют деятельность свыше 1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тыс. предприятий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потребительского рынка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. По данным Удмуртстата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за 1 квартал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года в сфере торговли и услуг занято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45,8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тыс. человек, что составляет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10,3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% от числа занятых граждан республики.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Среднемесячная заработная плата работников отрасли за январь – декабрь 20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24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года составила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56,4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тыс. рублей, темп роста относительно 12 месяцев прошлого года –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36,5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%.</w:t>
      </w:r>
    </w:p>
    <w:p>
      <w:pPr>
        <w:pStyle w:val="Normal"/>
        <w:spacing w:before="240" w:after="240"/>
        <w:ind w:firstLine="700" w:right="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 2024 года оборот розничной торговли составил 396 929 млн. руб., </w:t>
      </w:r>
      <w:bookmarkStart w:id="0" w:name="_GoBack"/>
      <w:r>
        <w:rPr>
          <w:rFonts w:eastAsia="Times New Roman" w:cs="Times New Roman" w:ascii="Times New Roman" w:hAnsi="Times New Roman"/>
          <w:sz w:val="28"/>
          <w:szCs w:val="28"/>
        </w:rPr>
        <w:t>что в сопоставимых ценах на 8,5% больше, чем в январе-декабре 2023 года.</w:t>
      </w:r>
      <w:bookmarkEnd w:id="0"/>
    </w:p>
    <w:p>
      <w:pPr>
        <w:pStyle w:val="Normal"/>
        <w:spacing w:before="240" w:after="240"/>
        <w:ind w:firstLine="700" w:right="80"/>
        <w:jc w:val="both"/>
        <w:rPr>
          <w:highlight w:val="none"/>
          <w:shd w:fill="B2B2B2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По данным Удмуртстата за 1 квартал 2025 года на территории Удмуртии количество ярмарок составило 107 с количеством мест 1735.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Темп роста продаж товаров на розничных рынках и ярмарках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за 2024 год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составил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59,5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% по отношению к аналогичному периоду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года.</w:t>
      </w:r>
    </w:p>
    <w:p>
      <w:pPr>
        <w:pStyle w:val="Normal"/>
        <w:spacing w:before="240" w:after="240"/>
        <w:ind w:firstLine="700" w:right="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Уверенными темпами развивается отрасль общественного питания. За 2024 год оборот общественного питания в сопоставимых ценах увеличился на 7,1% в сравнении с прошлым годом и составил 25,2 млрд рублей. Среди основных причин роста можно выделить: Развитие интернет-площадок с услугой доставки продукции потребителю. Доля российских продуктов для производства блюд в ресторанах составляет 90% (курица, булки, соусы и напитки). Рынок индустрии питания также способен адаптироваться к любым изменениям и в этом им поможет импортозамещение.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В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первой половине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на территории республики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был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реализован проект: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1. «День поставщика». На мероприятии присутствовали представители ведущей торговой сети страны  - компании «Магнит» и производители Удмуртии.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В качестве итогов ежегодного проведения мероприятий «День поставщика» можно отметить: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- введение в ассортиментную матрицу более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150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позиций товаров местных производителей, таких как напитки газированные, хлебобулочные изделия, мучные кондитерские изделия, кисломолочная продукция;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- увеличение доли местной продукции до 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% в торговых сетях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по отдельным социально-значимым товарам: хлеб и хлебобулочные изделия до 82%, молоко до 37,7%.</w:t>
      </w:r>
    </w:p>
    <w:p>
      <w:pPr>
        <w:pStyle w:val="Normal"/>
        <w:spacing w:before="240" w:after="240"/>
        <w:ind w:firstLine="700" w:right="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 данный момент ведутся переговоры между производителями Удмуртии и федеральной сети «Магнит»</w:t>
      </w:r>
    </w:p>
    <w:p>
      <w:pPr>
        <w:pStyle w:val="Normal"/>
        <w:spacing w:before="240" w:after="240"/>
        <w:ind w:firstLine="70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Министерством на постоянной основе осуществляется мониторинг состояния торговой деятельности. В целях обеспечения устойчивости функционирования экономики в текущих условиях на территории Удмуртии продолжена работа по проведению еженедельного мониторинга и анализ динамики цен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 41 социально значимый товар.</w:t>
      </w:r>
    </w:p>
    <w:p>
      <w:pPr>
        <w:pStyle w:val="Normal"/>
        <w:spacing w:before="240" w:after="240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Особое внимание уделяется развитию многоформатной торговли: развитию малых и средних предприятий торговли, а также ярмарочной, мобильной и нестационарной торговле. Министерством совместно с органами местного самоуправления проведена большая работа по разработке четких правил заключения договоров на размещение сезонных НТО.</w:t>
      </w:r>
    </w:p>
    <w:p>
      <w:pPr>
        <w:pStyle w:val="Normal"/>
        <w:spacing w:before="240" w:after="240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частности, установлена возможность продления на 7 лет без проведения аукционов или конкурсов договоров, заключенных по итогам аукционов или конкурсов.</w:t>
      </w:r>
    </w:p>
    <w:p>
      <w:pPr>
        <w:pStyle w:val="Normal"/>
        <w:spacing w:before="240" w:after="240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Данная мера позволит предпринимателям направить свободные денежные средства на расширение ассортимента продукции, улучшение торгового оборудования, что приведет к увеличению потребительского спроса населения.</w:t>
      </w:r>
    </w:p>
    <w:p>
      <w:pPr>
        <w:pStyle w:val="Normal"/>
        <w:spacing w:before="240" w:after="240"/>
        <w:ind w:firstLine="70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Гостиничный бизнес является важной составляющей в сфере гостеприимства. В республике функционирует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215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коллективных средств размещения с совокупным номерным фондом 5529 номеров.</w:t>
      </w:r>
    </w:p>
    <w:p>
      <w:pPr>
        <w:pStyle w:val="Normal"/>
        <w:spacing w:before="240" w:after="240"/>
        <w:ind w:firstLine="70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Отмечена положительная динамика объема предоставления гостиничных услуг, который за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 составил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1389,1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млн. руб., что в сопоставимых ценах на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3,4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% выше уровня аналогичного периода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года. Объем предоставления услуг специализированных коллективных средств размещения в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году составил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2077,9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млн. руб.</w:t>
      </w:r>
    </w:p>
    <w:p>
      <w:pPr>
        <w:pStyle w:val="Normal"/>
        <w:spacing w:before="240" w:after="240"/>
        <w:ind w:firstLine="70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Основными положительными факторами увеличения спроса на гостиничные услуги являются: развитие внутреннего туризма, бронирование отеля с открытой датой (платишь сейчас-заезжаешь потом), проведение массовых мероприятий, семинаров, форумов, международных, всероссийских и региональных культурных мероприятий и т.д.</w:t>
      </w:r>
    </w:p>
    <w:p>
      <w:pPr>
        <w:pStyle w:val="Normal"/>
        <w:spacing w:before="240" w:after="240"/>
        <w:ind w:firstLine="7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За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 оказано бытовых услуг населению на сумму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18,69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млрд. рублей, что в сопоставимых ценах на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9,8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% выше уровня аналогичного периода 202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года.</w:t>
      </w:r>
    </w:p>
    <w:p>
      <w:pPr>
        <w:pStyle w:val="Normal"/>
        <w:spacing w:before="240" w:after="240"/>
        <w:ind w:firstLine="70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Факторами, которые оказывают положительн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ое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влияние на увеличение объема предоставляемых услуг в отрасли, стали: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увеличение дохода населения, эффективные рекламные кампании, расширение географии предоставления услуг,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увеличение спроса населения на услуги по ремонту автомашин.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2174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LibreOffice/7.6.7.2$Linux_X86_64 LibreOffice_project/60$Build-2</Application>
  <AppVersion>15.0000</AppVersion>
  <Pages>3</Pages>
  <Words>577</Words>
  <Characters>3928</Characters>
  <CharactersWithSpaces>4487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2024-05-07T06:14:00Z</dcterms:created>
  <dc:creator>Зайцева Ирина Евгеньевна</dc:creator>
  <dc:description/>
  <dc:language>ru-RU</dc:language>
  <cp:lastModifiedBy/>
  <dcterms:modified xsi:type="dcterms:W3CDTF">2025-06-18T10:14:07Z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