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b/>
          <w:bCs/>
          <w:color w:val="000000"/>
          <w:sz w:val="32"/>
          <w:szCs w:val="32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Министерство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промышленности и торговли Удмуртской Республики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уведомляет о пр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оведении публичного обсуждения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документа стратегического планирования в Удмуртской Республике</w:t>
      </w:r>
      <w:r>
        <w:rPr>
          <w:rFonts w:ascii="PT Astra Serif" w:hAnsi="PT Astra Serif" w:cs="PT Astra Serif"/>
          <w:b/>
          <w:bCs/>
          <w:color w:val="000000"/>
          <w:sz w:val="32"/>
          <w:szCs w:val="32"/>
        </w:rPr>
      </w:r>
      <w:r>
        <w:rPr>
          <w:rFonts w:ascii="PT Astra Serif" w:hAnsi="PT Astra Serif" w:cs="PT Astra Serif"/>
          <w:b/>
          <w:bCs/>
          <w:color w:val="000000"/>
          <w:sz w:val="32"/>
          <w:szCs w:val="32"/>
        </w:rPr>
      </w:r>
    </w:p>
    <w:p>
      <w:pPr>
        <w:jc w:val="both"/>
        <w:rPr>
          <w:rFonts w:ascii="PT Astra Serif" w:hAnsi="PT Astra Serif" w:cs="PT Astra Serif"/>
          <w:sz w:val="32"/>
          <w:szCs w:val="32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Вид проекта документа стратегического планирования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 постановление Правительства Удмуртской Республики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внесении изменений в государственную программу Удмуртской Республики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Наименование проекта документа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стратегического планирования: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рограммы Удмуртской Республики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«Развитие промышленности и потребительского рынка»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Разработчик проекта: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промышленности и торговли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Удмуртской Республики 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b/>
          <w:sz w:val="32"/>
          <w:szCs w:val="32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Сроки проведения публичного обсуждения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21 августа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года – 28 августа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20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года</w:t>
      </w:r>
      <w:r>
        <w:rPr>
          <w:rFonts w:ascii="PT Astra Serif" w:hAnsi="PT Astra Serif" w:cs="PT Astra Serif"/>
          <w:b/>
          <w:sz w:val="32"/>
          <w:szCs w:val="32"/>
          <w:highlight w:val="white"/>
        </w:rPr>
      </w:r>
      <w:r>
        <w:rPr>
          <w:rFonts w:ascii="PT Astra Serif" w:hAnsi="PT Astra Serif" w:cs="PT Astra Serif"/>
          <w:b/>
          <w:sz w:val="32"/>
          <w:szCs w:val="32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Способ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представления замечаний и предложений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аправление по электронной почте на адрес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hyperlink r:id="rId9" w:tooltip="http://Analiticheskoe_upr@mpt.udmr.ru" w:history="1">
        <w:r>
          <w:rPr>
            <w:rStyle w:val="841"/>
            <w:rFonts w:ascii="PT Astra Serif" w:hAnsi="PT Astra Serif" w:eastAsia="PT Astra Serif" w:cs="PT Astra Serif"/>
            <w:sz w:val="28"/>
            <w:szCs w:val="28"/>
          </w:rPr>
          <w:t xml:space="preserve">Analiticheskoe_upr@mpt.udmr.ru</w:t>
        </w:r>
        <w:r>
          <w:rPr>
            <w:rStyle w:val="841"/>
            <w:rFonts w:ascii="PT Astra Serif" w:hAnsi="PT Astra Serif" w:eastAsia="PT Astra Serif" w:cs="PT Astra Serif"/>
            <w:sz w:val="28"/>
            <w:szCs w:val="28"/>
          </w:rPr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виде прикрепленного файла, заполненного по прилагаемой форме.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Контактное лицо по вопросам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представления замечаний и предложений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Бойкова Ирина Ивановна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–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ачальник Аналит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ического управления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  <w:br/>
        <w:t xml:space="preserve">тел. (3412)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222-684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 до 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-30 часов по рабочим дням.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b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Прилагаемые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документы:</w:t>
      </w:r>
      <w:r>
        <w:rPr>
          <w:rFonts w:ascii="PT Astra Serif" w:hAnsi="PT Astra Serif" w:cs="PT Astra Serif"/>
          <w:b/>
          <w:sz w:val="32"/>
          <w:szCs w:val="32"/>
        </w:rPr>
      </w:r>
      <w:r>
        <w:rPr>
          <w:rFonts w:ascii="PT Astra Serif" w:hAnsi="PT Astra Serif" w:cs="PT Astra Serif"/>
          <w:b/>
          <w:sz w:val="32"/>
          <w:szCs w:val="3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проект постановления Правительства Удмуртской Республики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нности и потребительского рынка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пояснительная записка к проекту постановления Правительства Удмуртской Республики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tbl>
      <w:tblPr>
        <w:tblW w:w="9745" w:type="dxa"/>
        <w:tblLayout w:type="fixed"/>
        <w:tblLook w:val="01E0" w:firstRow="1" w:lastRow="1" w:firstColumn="1" w:lastColumn="1" w:noHBand="0" w:noVBand="0"/>
      </w:tblPr>
      <w:tblGrid>
        <w:gridCol w:w="9745"/>
      </w:tblGrid>
      <w:tr>
        <w:tblPrEx/>
        <w:trPr>
          <w:trHeight w:val="2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5" w:type="dxa"/>
            <w:textDirection w:val="lrTb"/>
            <w:noWrap w:val="false"/>
          </w:tcPr>
          <w:p>
            <w:pPr>
              <w:ind w:right="-6" w:firstLine="539"/>
              <w:rPr>
                <w:rFonts w:ascii="PT Astra Serif" w:hAnsi="PT Astra Serif" w:cs="PT Astra Serif"/>
                <w:b/>
                <w:sz w:val="32"/>
                <w:szCs w:val="32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Комментарий</w:t>
            </w:r>
            <w:r>
              <w:rPr>
                <w:rFonts w:ascii="PT Astra Serif" w:hAnsi="PT Astra Serif" w:cs="PT Astra Serif"/>
                <w:b/>
                <w:sz w:val="32"/>
                <w:szCs w:val="32"/>
              </w:rPr>
            </w:r>
            <w:r>
              <w:rPr>
                <w:rFonts w:ascii="PT Astra Serif" w:hAnsi="PT Astra Serif" w:cs="PT Astra Serif"/>
                <w:b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5" w:type="dxa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rFonts w:ascii="PT Astra Serif" w:hAnsi="PT Astra Serif" w:eastAsia="PT Astra Serif" w:cs="PT Astra Serif"/>
                <w:sz w:val="26"/>
                <w:szCs w:val="26"/>
                <w14:ligatures w14:val="none"/>
              </w:rPr>
              <w:pBdr>
                <w:top w:val="single" w:color="000000" w:sz="4" w:space="0"/>
                <w:left w:val="single" w:color="000000" w:sz="4" w:space="3"/>
                <w:bottom w:val="single" w:color="000000" w:sz="4" w:space="0"/>
                <w:right w:val="single" w:color="000000" w:sz="4" w:space="3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роект постановления Правительства Удмуртской Республики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(далее – Проект 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предусматривает внесение изменений в государственную программу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Удмуртской Республики «Развитие промышленности и потребительского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рынка» (далее - Госпрограмма) 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rPr>
                <w:rFonts w:ascii="PT Astra Serif" w:hAnsi="PT Astra Serif" w:eastAsia="PT Astra Serif" w:cs="PT Astra Serif"/>
                <w:sz w:val="26"/>
                <w:szCs w:val="26"/>
                <w14:ligatures w14:val="none"/>
              </w:rPr>
              <w:pBdr>
                <w:top w:val="single" w:color="000000" w:sz="4" w:space="0"/>
                <w:left w:val="single" w:color="000000" w:sz="4" w:space="3"/>
                <w:bottom w:val="single" w:color="000000" w:sz="4" w:space="0"/>
                <w:right w:val="single" w:color="000000" w:sz="4" w:space="3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 структуру Госпрограммы добавлен региональный проект «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Обеспечение деятельности регионального фонда развития промышленности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», реализуемый 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целях реализации распоряжения от 13.05.2025 № 468-р «О реализации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 Удмуртской Республики постановления Правительства Российской Федерации от 01.02.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2025 № 79 «Об утверждении Правил списания задолженности субъектов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Российской Федерации перед Российской Федерацией по отдельным бюджетным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кредитам и направления субъектами Российской Федерации средств,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высвобождаемых в результате списания задолженности субъектов Российской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Федерации по указанным бюджетным кредитам»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rPr>
                <w:rFonts w:ascii="PT Astra Serif" w:hAnsi="PT Astra Serif" w:eastAsia="PT Astra Serif" w:cs="PT Astra Serif"/>
                <w:sz w:val="26"/>
                <w:szCs w:val="26"/>
                <w14:ligatures w14:val="none"/>
              </w:rPr>
              <w:pBdr>
                <w:top w:val="single" w:color="000000" w:sz="4" w:space="0"/>
                <w:left w:val="single" w:color="000000" w:sz="4" w:space="3"/>
                <w:bottom w:val="single" w:color="000000" w:sz="4" w:space="0"/>
                <w:right w:val="single" w:color="000000" w:sz="4" w:space="3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речень мероприятий, реализуемых в рамках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федерального проекта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«Производительность труда», приведен в соответствие федеральным правилам, утвержденным п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остановлением Правительства Российской Федерации от 15.04.2014 № 316 (ред. от 05.08.2025) «Об утверждении государственной программы Российской Федерации «Экономическое развитие и инновационная экономика» приложение № 49.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rPr>
                <w:rFonts w:ascii="PT Astra Serif" w:hAnsi="PT Astra Serif" w:eastAsia="PT Astra Serif" w:cs="PT Astra Serif"/>
                <w:sz w:val="26"/>
                <w:szCs w:val="26"/>
                <w14:ligatures w14:val="none"/>
              </w:rPr>
              <w:pBdr>
                <w:top w:val="single" w:color="000000" w:sz="4" w:space="0"/>
                <w:left w:val="single" w:color="000000" w:sz="4" w:space="3"/>
                <w:bottom w:val="single" w:color="000000" w:sz="4" w:space="0"/>
                <w:right w:val="single" w:color="000000" w:sz="4" w:space="3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Целевые показатели, достижение которых планируется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 период </w:t>
              <w:br/>
              <w:t xml:space="preserve">2025-2027 годов, в результате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полученной в 2025 году субсидии из федерального бюджета в соответствии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 Правилами предоставления субсидий из федерального бюджета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бюджетам субъектов Российской Федерации в целях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софинансирования расходных обязательств субъектов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Российской Федерации, возникающих при реализации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региональных программ развития промышленности, приведенными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 приложении № 3 к государственной программе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Российской Федерации «Развитие промышленности и повышение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ее конкурентоспособности», утвержденной постановлением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Правительства Российской Федерации от 15.04.2014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328 «Об утверждении государственной программы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Российской Федерации «Развитие промышленности и повышение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ее конкурентоспособности», скорректированы в связи с перераспределением объемов финансирования между мероприятиями с учетом согласования с Минпромторгом РФ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 w:val="32"/>
          <w:szCs w:val="32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firstLine="540"/>
        <w:jc w:val="center"/>
        <w:rPr>
          <w:rFonts w:ascii="PT Astra Serif" w:hAnsi="PT Astra Serif" w:cs="PT Astra Serif"/>
          <w:b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Контактная информация</w:t>
      </w:r>
      <w:r>
        <w:rPr>
          <w:rFonts w:ascii="PT Astra Serif" w:hAnsi="PT Astra Serif" w:cs="PT Astra Serif"/>
          <w:b/>
          <w:sz w:val="32"/>
          <w:szCs w:val="32"/>
        </w:rPr>
      </w:r>
      <w:r>
        <w:rPr>
          <w:rFonts w:ascii="PT Astra Serif" w:hAnsi="PT Astra Serif" w:cs="PT Astra Serif"/>
          <w:b/>
          <w:sz w:val="32"/>
          <w:szCs w:val="32"/>
        </w:rPr>
      </w:r>
    </w:p>
    <w:p>
      <w:pPr>
        <w:ind w:firstLine="540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По Вашему желанию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укажите: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firstLine="540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Название организации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          _____________________________________________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firstLine="540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Сферу деятельности организации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_____________________________________________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firstLine="540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Ф.И.О. контактного лица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          _____________________________________________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firstLine="540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Номер контактного телефона</w:t>
      </w: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          _____________________________________________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firstLine="540"/>
        <w:jc w:val="both"/>
        <w:rPr>
          <w:rFonts w:ascii="PT Astra Serif" w:hAnsi="PT Astra Serif" w:cs="PT Astra Serif"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Адрес электронной почты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          _____________________________________________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sectPr>
      <w:footnotePr/>
      <w:endnotePr/>
      <w:type w:val="nextPage"/>
      <w:pgSz w:w="11906" w:h="16838" w:orient="portrait"/>
      <w:pgMar w:top="567" w:right="851" w:bottom="426" w:left="156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Document Map"/>
    <w:basedOn w:val="833"/>
    <w:link w:val="838"/>
    <w:uiPriority w:val="99"/>
    <w:semiHidden/>
    <w:unhideWhenUsed/>
    <w:rPr>
      <w:rFonts w:ascii="Tahoma" w:hAnsi="Tahoma" w:cs="Tahoma"/>
      <w:sz w:val="16"/>
      <w:szCs w:val="16"/>
    </w:rPr>
  </w:style>
  <w:style w:type="character" w:styleId="838" w:customStyle="1">
    <w:name w:val="Схема документа Знак"/>
    <w:basedOn w:val="834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39">
    <w:name w:val="Body Text"/>
    <w:basedOn w:val="833"/>
    <w:link w:val="840"/>
    <w:pPr>
      <w:spacing w:after="120"/>
    </w:pPr>
    <w:rPr>
      <w:szCs w:val="20"/>
    </w:rPr>
  </w:style>
  <w:style w:type="character" w:styleId="840" w:customStyle="1">
    <w:name w:val="Основной текст Знак"/>
    <w:basedOn w:val="834"/>
    <w:link w:val="839"/>
    <w:rPr>
      <w:rFonts w:ascii="Times New Roman" w:hAnsi="Times New Roman" w:eastAsia="Times New Roman"/>
      <w:sz w:val="24"/>
    </w:rPr>
  </w:style>
  <w:style w:type="character" w:styleId="841">
    <w:name w:val="Hyperlink"/>
    <w:basedOn w:val="834"/>
    <w:uiPriority w:val="99"/>
    <w:unhideWhenUsed/>
    <w:rPr>
      <w:color w:val="0000ff" w:themeColor="hyperlink"/>
      <w:u w:val="single"/>
    </w:rPr>
  </w:style>
  <w:style w:type="paragraph" w:styleId="842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Analiticheskoe_upr@mpt.udm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Министерство экономики УР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nvl</dc:creator>
  <cp:revision>25</cp:revision>
  <dcterms:created xsi:type="dcterms:W3CDTF">2020-09-28T06:31:00Z</dcterms:created>
  <dcterms:modified xsi:type="dcterms:W3CDTF">2025-08-21T04:50:07Z</dcterms:modified>
</cp:coreProperties>
</file>