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A2095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</w:t>
      </w:r>
      <w:r w:rsidR="00A31804">
        <w:rPr>
          <w:rFonts w:ascii="Times New Roman" w:hAnsi="Times New Roman" w:cs="Times New Roman"/>
          <w:sz w:val="26"/>
          <w:szCs w:val="26"/>
        </w:rPr>
        <w:t>ию</w:t>
      </w:r>
      <w:r w:rsidR="00233785">
        <w:rPr>
          <w:rFonts w:ascii="Times New Roman" w:hAnsi="Times New Roman" w:cs="Times New Roman"/>
          <w:sz w:val="26"/>
          <w:szCs w:val="26"/>
        </w:rPr>
        <w:t>л</w:t>
      </w:r>
      <w:r w:rsidR="00A31804">
        <w:rPr>
          <w:rFonts w:ascii="Times New Roman" w:hAnsi="Times New Roman" w:cs="Times New Roman"/>
          <w:sz w:val="26"/>
          <w:szCs w:val="26"/>
        </w:rPr>
        <w:t>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C82CC8">
        <w:rPr>
          <w:rFonts w:ascii="Times New Roman" w:hAnsi="Times New Roman" w:cs="Times New Roman"/>
          <w:sz w:val="26"/>
          <w:szCs w:val="26"/>
        </w:rPr>
        <w:t>74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3BE6" w:rsidRPr="005A3BE6" w:rsidRDefault="00616BAC" w:rsidP="005A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юджетно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Воткинская</w:t>
      </w:r>
      <w:proofErr w:type="spellEnd"/>
      <w:r w:rsidR="005A3BE6" w:rsidRPr="005A3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городская детская больница Министерства здравоохранения Удмуртской Республики»</w:t>
      </w:r>
    </w:p>
    <w:p w:rsidR="00DE00FE" w:rsidRPr="00DE00FE" w:rsidRDefault="00DE00FE" w:rsidP="005A3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33785" w:rsidRDefault="00616BAC" w:rsidP="0042392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3BE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3B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E4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3921" w:rsidRPr="004239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</w:t>
      </w:r>
      <w:r w:rsidR="004239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 Удмуртской Республики «</w:t>
      </w:r>
      <w:proofErr w:type="spellStart"/>
      <w:r w:rsidR="004239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Воткин</w:t>
      </w:r>
      <w:r w:rsidR="00423921" w:rsidRPr="004239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ская</w:t>
      </w:r>
      <w:proofErr w:type="spellEnd"/>
      <w:r w:rsidR="00423921" w:rsidRPr="0042392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городская детская больница Министерства здравоохранения Удмуртской Республики»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33785">
        <w:rPr>
          <w:rFonts w:ascii="Times New Roman" w:hAnsi="Times New Roman" w:cs="Times New Roman"/>
          <w:sz w:val="26"/>
          <w:szCs w:val="26"/>
        </w:rPr>
        <w:t>:</w:t>
      </w:r>
      <w:r w:rsidR="00445386" w:rsidRPr="00233785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D729D5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D729D5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деятельности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D729D5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D729D5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E029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bookmarkStart w:id="0" w:name="_GoBack"/>
                  <w:bookmarkEnd w:id="0"/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E029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 01.01.2019 по 3</w:t>
                  </w:r>
                  <w:r w:rsidR="002337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2337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2337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2337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729D5">
                    <w:rPr>
                      <w:rFonts w:eastAsia="Calibri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D729D5">
                    <w:rPr>
                      <w:rFonts w:eastAsia="Calibri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33785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33785" w:rsidRPr="008464A9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33785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3921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A3BE6"/>
    <w:rsid w:val="005B3D46"/>
    <w:rsid w:val="005B7AA4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2CC8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729D5"/>
    <w:rsid w:val="00D83942"/>
    <w:rsid w:val="00D85FEE"/>
    <w:rsid w:val="00D86559"/>
    <w:rsid w:val="00D90C03"/>
    <w:rsid w:val="00D949A7"/>
    <w:rsid w:val="00DE00FE"/>
    <w:rsid w:val="00DE4F18"/>
    <w:rsid w:val="00DF7E2C"/>
    <w:rsid w:val="00E0251E"/>
    <w:rsid w:val="00E029E0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1B7C-63CA-4244-80E2-37F44618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212</cp:revision>
  <cp:lastPrinted>2020-07-30T10:15:00Z</cp:lastPrinted>
  <dcterms:created xsi:type="dcterms:W3CDTF">2017-11-22T12:25:00Z</dcterms:created>
  <dcterms:modified xsi:type="dcterms:W3CDTF">2020-08-19T06:53:00Z</dcterms:modified>
</cp:coreProperties>
</file>